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left"/>
        <w:rPr>
          <w:rFonts w:hint="eastAsia" w:asciiTheme="minorEastAsia" w:hAnsiTheme="minorEastAsia" w:eastAsiaTheme="minorEastAsia" w:cstheme="minorEastAsia"/>
          <w:b/>
          <w:bCs/>
          <w:i w:val="0"/>
          <w:caps w:val="0"/>
          <w:color w:val="000000"/>
          <w:spacing w:val="0"/>
          <w:sz w:val="28"/>
          <w:szCs w:val="28"/>
          <w:highlight w:val="none"/>
        </w:rPr>
      </w:pPr>
      <w:r>
        <w:rPr>
          <w:rFonts w:hint="eastAsia" w:asciiTheme="minorEastAsia" w:hAnsiTheme="minorEastAsia" w:eastAsiaTheme="minorEastAsia" w:cstheme="minorEastAsia"/>
          <w:b/>
          <w:bCs/>
          <w:i w:val="0"/>
          <w:caps w:val="0"/>
          <w:color w:val="000000"/>
          <w:spacing w:val="0"/>
          <w:sz w:val="28"/>
          <w:szCs w:val="28"/>
          <w:highlight w:val="none"/>
          <w:shd w:val="clear" w:fill="FFFFFF"/>
        </w:rPr>
        <w:t>广东省财政厅关于印发《广东省政府集中采购目录及标准（2020年版）》的通知</w:t>
      </w:r>
      <w:r>
        <w:rPr>
          <w:rFonts w:hint="eastAsia" w:asciiTheme="minorEastAsia" w:hAnsiTheme="minorEastAsia" w:eastAsiaTheme="minorEastAsia" w:cstheme="minorEastAsia"/>
          <w:b/>
          <w:bCs/>
          <w:i w:val="0"/>
          <w:caps w:val="0"/>
          <w:color w:val="000000"/>
          <w:spacing w:val="0"/>
          <w:sz w:val="28"/>
          <w:szCs w:val="28"/>
          <w:highlight w:val="none"/>
          <w:shd w:val="clear" w:fill="FFFFFF"/>
          <w:lang w:val="en-US" w:eastAsia="zh-CN"/>
        </w:rPr>
        <w:t>-</w:t>
      </w:r>
      <w:r>
        <w:rPr>
          <w:rFonts w:hint="eastAsia" w:asciiTheme="minorEastAsia" w:hAnsiTheme="minorEastAsia" w:eastAsiaTheme="minorEastAsia" w:cstheme="minorEastAsia"/>
          <w:b/>
          <w:bCs/>
          <w:i w:val="0"/>
          <w:caps w:val="0"/>
          <w:color w:val="000000"/>
          <w:spacing w:val="0"/>
          <w:sz w:val="28"/>
          <w:szCs w:val="28"/>
          <w:highlight w:val="none"/>
          <w:shd w:val="clear" w:fill="FFFFFF"/>
        </w:rPr>
        <w:t>粤财采购〔2020〕18号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828282"/>
          <w:spacing w:val="0"/>
          <w:kern w:val="0"/>
          <w:sz w:val="28"/>
          <w:szCs w:val="28"/>
          <w:highlight w:val="none"/>
          <w:shd w:val="clear" w:fill="FFFFFF"/>
          <w:lang w:val="en-US" w:eastAsia="zh-CN" w:bidi="ar"/>
        </w:rPr>
        <w:t>2020-08-17</w:t>
      </w:r>
      <w:r>
        <w:rPr>
          <w:rFonts w:hint="eastAsia" w:asciiTheme="minorEastAsia" w:hAnsiTheme="minorEastAsia" w:eastAsiaTheme="minorEastAsia" w:cstheme="minorEastAsia"/>
          <w:i w:val="0"/>
          <w:caps w:val="0"/>
          <w:color w:val="000000"/>
          <w:spacing w:val="0"/>
          <w:kern w:val="0"/>
          <w:sz w:val="28"/>
          <w:szCs w:val="28"/>
          <w:highlight w:val="none"/>
          <w:shd w:val="clear" w:fill="FFFFFF"/>
          <w:lang w:val="en-US" w:eastAsia="zh-CN" w:bidi="ar"/>
        </w:rPr>
        <w:t> </w:t>
      </w:r>
      <w:r>
        <w:rPr>
          <w:rFonts w:hint="eastAsia" w:asciiTheme="minorEastAsia" w:hAnsiTheme="minorEastAsia" w:eastAsiaTheme="minorEastAsia" w:cstheme="minorEastAsia"/>
          <w:i w:val="0"/>
          <w:caps w:val="0"/>
          <w:color w:val="828282"/>
          <w:spacing w:val="0"/>
          <w:kern w:val="0"/>
          <w:sz w:val="28"/>
          <w:szCs w:val="28"/>
          <w:highlight w:val="none"/>
          <w:shd w:val="clear" w:fill="FFFFFF"/>
          <w:lang w:val="en-US" w:eastAsia="zh-CN" w:bidi="ar"/>
        </w:rPr>
        <w:t>来源：本网原创稿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kern w:val="0"/>
          <w:sz w:val="28"/>
          <w:szCs w:val="28"/>
          <w:highlight w:val="none"/>
          <w:u w:val="none"/>
          <w:shd w:val="clear" w:fill="FFFFFF"/>
          <w:lang w:val="en-US" w:eastAsia="zh-CN" w:bidi="ar"/>
        </w:rPr>
        <w:fldChar w:fldCharType="begin"/>
      </w:r>
      <w:r>
        <w:rPr>
          <w:rFonts w:hint="eastAsia" w:asciiTheme="minorEastAsia" w:hAnsiTheme="minorEastAsia" w:eastAsiaTheme="minorEastAsia" w:cstheme="minorEastAsia"/>
          <w:i w:val="0"/>
          <w:caps w:val="0"/>
          <w:color w:val="000000"/>
          <w:spacing w:val="0"/>
          <w:kern w:val="0"/>
          <w:sz w:val="28"/>
          <w:szCs w:val="28"/>
          <w:highlight w:val="none"/>
          <w:u w:val="none"/>
          <w:shd w:val="clear" w:fill="FFFFFF"/>
          <w:lang w:val="en-US" w:eastAsia="zh-CN" w:bidi="ar"/>
        </w:rPr>
        <w:instrText xml:space="preserve"> HYPERLINK "http://czt.gd.gov.cn/zfcg/content/post_3066818.html" \o "分享到微信" </w:instrText>
      </w:r>
      <w:r>
        <w:rPr>
          <w:rFonts w:hint="eastAsia" w:asciiTheme="minorEastAsia" w:hAnsiTheme="minorEastAsia" w:eastAsiaTheme="minorEastAsia" w:cstheme="minorEastAsia"/>
          <w:i w:val="0"/>
          <w:caps w:val="0"/>
          <w:color w:val="000000"/>
          <w:spacing w:val="0"/>
          <w:kern w:val="0"/>
          <w:sz w:val="28"/>
          <w:szCs w:val="28"/>
          <w:highlight w:val="none"/>
          <w:u w:val="none"/>
          <w:shd w:val="clear" w:fill="FFFFFF"/>
          <w:lang w:val="en-US" w:eastAsia="zh-CN" w:bidi="ar"/>
        </w:rPr>
        <w:fldChar w:fldCharType="separate"/>
      </w:r>
      <w:r>
        <w:rPr>
          <w:rFonts w:hint="eastAsia" w:asciiTheme="minorEastAsia" w:hAnsiTheme="minorEastAsia" w:eastAsiaTheme="minorEastAsia" w:cstheme="minorEastAsia"/>
          <w:i w:val="0"/>
          <w:caps w:val="0"/>
          <w:color w:val="000000"/>
          <w:spacing w:val="0"/>
          <w:kern w:val="0"/>
          <w:sz w:val="28"/>
          <w:szCs w:val="28"/>
          <w:highlight w:val="none"/>
          <w:u w:val="none"/>
          <w:shd w:val="clear" w:fill="FFFFFF"/>
          <w:lang w:val="en-US" w:eastAsia="zh-CN" w:bidi="ar"/>
        </w:rPr>
        <w:fldChar w:fldCharType="end"/>
      </w:r>
      <w:r>
        <w:rPr>
          <w:rFonts w:hint="eastAsia" w:asciiTheme="minorEastAsia" w:hAnsiTheme="minorEastAsia" w:eastAsiaTheme="minorEastAsia" w:cstheme="minorEastAsia"/>
          <w:i w:val="0"/>
          <w:caps w:val="0"/>
          <w:color w:val="000000"/>
          <w:spacing w:val="0"/>
          <w:kern w:val="0"/>
          <w:sz w:val="28"/>
          <w:szCs w:val="28"/>
          <w:highlight w:val="none"/>
          <w:u w:val="none"/>
          <w:shd w:val="clear" w:fill="FFFFFF"/>
          <w:lang w:val="en-US" w:eastAsia="zh-CN" w:bidi="ar"/>
        </w:rPr>
        <w:fldChar w:fldCharType="begin"/>
      </w:r>
      <w:r>
        <w:rPr>
          <w:rFonts w:hint="eastAsia" w:asciiTheme="minorEastAsia" w:hAnsiTheme="minorEastAsia" w:eastAsiaTheme="minorEastAsia" w:cstheme="minorEastAsia"/>
          <w:i w:val="0"/>
          <w:caps w:val="0"/>
          <w:color w:val="000000"/>
          <w:spacing w:val="0"/>
          <w:kern w:val="0"/>
          <w:sz w:val="28"/>
          <w:szCs w:val="28"/>
          <w:highlight w:val="none"/>
          <w:u w:val="none"/>
          <w:shd w:val="clear" w:fill="FFFFFF"/>
          <w:lang w:val="en-US" w:eastAsia="zh-CN" w:bidi="ar"/>
        </w:rPr>
        <w:instrText xml:space="preserve"> HYPERLINK "http://czt.gd.gov.cn/zfcg/content/post_3066818.html" \o "分享到新浪微博" </w:instrText>
      </w:r>
      <w:r>
        <w:rPr>
          <w:rFonts w:hint="eastAsia" w:asciiTheme="minorEastAsia" w:hAnsiTheme="minorEastAsia" w:eastAsiaTheme="minorEastAsia" w:cstheme="minorEastAsia"/>
          <w:i w:val="0"/>
          <w:caps w:val="0"/>
          <w:color w:val="000000"/>
          <w:spacing w:val="0"/>
          <w:kern w:val="0"/>
          <w:sz w:val="28"/>
          <w:szCs w:val="28"/>
          <w:highlight w:val="none"/>
          <w:u w:val="none"/>
          <w:shd w:val="clear" w:fill="FFFFFF"/>
          <w:lang w:val="en-US" w:eastAsia="zh-CN" w:bidi="ar"/>
        </w:rPr>
        <w:fldChar w:fldCharType="separate"/>
      </w:r>
      <w:r>
        <w:rPr>
          <w:rFonts w:hint="eastAsia" w:asciiTheme="minorEastAsia" w:hAnsiTheme="minorEastAsia" w:eastAsiaTheme="minorEastAsia" w:cstheme="minorEastAsia"/>
          <w:i w:val="0"/>
          <w:caps w:val="0"/>
          <w:color w:val="000000"/>
          <w:spacing w:val="0"/>
          <w:kern w:val="0"/>
          <w:sz w:val="28"/>
          <w:szCs w:val="28"/>
          <w:highlight w:val="none"/>
          <w:u w:val="none"/>
          <w:shd w:val="clear" w:fill="FFFFFF"/>
          <w:lang w:val="en-US" w:eastAsia="zh-CN" w:bidi="ar"/>
        </w:rPr>
        <w:fldChar w:fldCharType="end"/>
      </w:r>
      <w:r>
        <w:rPr>
          <w:rFonts w:hint="eastAsia" w:asciiTheme="minorEastAsia" w:hAnsiTheme="minorEastAsia" w:eastAsiaTheme="minorEastAsia" w:cstheme="minorEastAsia"/>
          <w:i w:val="0"/>
          <w:caps w:val="0"/>
          <w:color w:val="000000"/>
          <w:spacing w:val="0"/>
          <w:kern w:val="0"/>
          <w:sz w:val="28"/>
          <w:szCs w:val="28"/>
          <w:highlight w:val="none"/>
          <w:u w:val="none"/>
          <w:shd w:val="clear" w:fill="FFFFFF"/>
          <w:lang w:val="en-US" w:eastAsia="zh-CN" w:bidi="ar"/>
        </w:rPr>
        <w:fldChar w:fldCharType="begin"/>
      </w:r>
      <w:r>
        <w:rPr>
          <w:rFonts w:hint="eastAsia" w:asciiTheme="minorEastAsia" w:hAnsiTheme="minorEastAsia" w:eastAsiaTheme="minorEastAsia" w:cstheme="minorEastAsia"/>
          <w:i w:val="0"/>
          <w:caps w:val="0"/>
          <w:color w:val="000000"/>
          <w:spacing w:val="0"/>
          <w:kern w:val="0"/>
          <w:sz w:val="28"/>
          <w:szCs w:val="28"/>
          <w:highlight w:val="none"/>
          <w:u w:val="none"/>
          <w:shd w:val="clear" w:fill="FFFFFF"/>
          <w:lang w:val="en-US" w:eastAsia="zh-CN" w:bidi="ar"/>
        </w:rPr>
        <w:instrText xml:space="preserve"> HYPERLINK "http://czt.gd.gov.cn/zfcg/content/post_3066818.html" \o "分享到QQ好友" </w:instrText>
      </w:r>
      <w:r>
        <w:rPr>
          <w:rFonts w:hint="eastAsia" w:asciiTheme="minorEastAsia" w:hAnsiTheme="minorEastAsia" w:eastAsiaTheme="minorEastAsia" w:cstheme="minorEastAsia"/>
          <w:i w:val="0"/>
          <w:caps w:val="0"/>
          <w:color w:val="000000"/>
          <w:spacing w:val="0"/>
          <w:kern w:val="0"/>
          <w:sz w:val="28"/>
          <w:szCs w:val="28"/>
          <w:highlight w:val="none"/>
          <w:u w:val="none"/>
          <w:shd w:val="clear" w:fill="FFFFFF"/>
          <w:lang w:val="en-US" w:eastAsia="zh-CN" w:bidi="ar"/>
        </w:rPr>
        <w:fldChar w:fldCharType="separate"/>
      </w:r>
      <w:r>
        <w:rPr>
          <w:rFonts w:hint="eastAsia" w:asciiTheme="minorEastAsia" w:hAnsiTheme="minorEastAsia" w:eastAsiaTheme="minorEastAsia" w:cstheme="minorEastAsia"/>
          <w:i w:val="0"/>
          <w:caps w:val="0"/>
          <w:color w:val="000000"/>
          <w:spacing w:val="0"/>
          <w:kern w:val="0"/>
          <w:sz w:val="28"/>
          <w:szCs w:val="28"/>
          <w:highlight w:val="none"/>
          <w:u w:val="none"/>
          <w:shd w:val="clear" w:fill="FFFFFF"/>
          <w:lang w:val="en-US" w:eastAsia="zh-CN" w:bidi="ar"/>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center"/>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粤财采购〔2020〕18号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各地级以上市人民政府，省直各单位：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为贯彻落实国家《深化政府采购制度改革方案》（以下简称《改革方案》）精神，根据《中华人民共和国政府采购法》和《财政部关于印发〈地方预算单位政府集中采购目录及标准指引〉的通知》（财库〔2019〕69号，以下简称《地方目录及标准指引》），结合我省实际，经省人民政府授权，现将《广东省政府集中采购目录及标准（2020年版）》（以下简称《目录及标准（2020年版）》）印发给你们，并就有关事项通知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一、充分认识统一集中采购目录的重要意义。《改革方案》提出了“规范并逐步在全国统一集中采购目录”明确要求。逐步缩小集中采购范围差异，实现集中采购目录相对统一，是建立全国统一政府采购市场，推动集中采购机构竞争机制，提高政府集中度的重要基础和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二、《目录及标准（2020年版）》与《地方目录及标准指引》保持基本一致。财政部制定的《地方目录及标准指引》在综合分析全国各地集中采购目录情况基础上，确定了货物、服务集中采购机构采购项目的参考范围。我省以《地方目录及标准指引》为基准，并结合实际情况，保留了现行集中采购目录中的视频会议系统设备、装修工程、修缮工程、法律服务、审计服务、资产及其他评估服务等6个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三、《目录及标准（2020年版）》是政府采购预算编制的重要依据，各级预算单位要按照应编尽编、“应采尽采”原则，全面、完整编制政府采购预算，并依据批复的政府采购预算及时编制政府采购计划，报同级人民政府财政部门备案后组织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四、省财政厅加快建设全省统一的电子卖场，制定统一的电子卖场交易目录和交易规则，不断拓展和丰富各类电子交易方式，为各级预算单位提供方便、快捷采购渠道。</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w:t>
      </w:r>
      <w:r>
        <w:rPr>
          <w:rFonts w:hint="eastAsia" w:asciiTheme="minorEastAsia" w:hAnsiTheme="minorEastAsia" w:eastAsiaTheme="minorEastAsia" w:cstheme="minorEastAsia"/>
          <w:i w:val="0"/>
          <w:caps w:val="0"/>
          <w:color w:val="000000"/>
          <w:spacing w:val="0"/>
          <w:sz w:val="28"/>
          <w:szCs w:val="28"/>
          <w:highlight w:val="none"/>
          <w:shd w:val="clear" w:fill="FFFFFF"/>
        </w:rPr>
        <w:t>五、为落实“放管服”改革精神，本集中采购目录不包含</w:t>
      </w:r>
      <w:r>
        <w:rPr>
          <w:rFonts w:hint="eastAsia" w:asciiTheme="minorEastAsia" w:hAnsiTheme="minorEastAsia" w:eastAsiaTheme="minorEastAsia" w:cstheme="minorEastAsia"/>
          <w:i w:val="0"/>
          <w:caps w:val="0"/>
          <w:color w:val="FF0000"/>
          <w:spacing w:val="0"/>
          <w:sz w:val="28"/>
          <w:szCs w:val="28"/>
          <w:highlight w:val="none"/>
          <w:shd w:val="clear" w:fill="FFFFFF"/>
        </w:rPr>
        <w:t>部门集中采购项目</w:t>
      </w:r>
      <w:r>
        <w:rPr>
          <w:rFonts w:hint="eastAsia" w:asciiTheme="minorEastAsia" w:hAnsiTheme="minorEastAsia" w:eastAsiaTheme="minorEastAsia" w:cstheme="minorEastAsia"/>
          <w:i w:val="0"/>
          <w:caps w:val="0"/>
          <w:color w:val="000000"/>
          <w:spacing w:val="0"/>
          <w:sz w:val="28"/>
          <w:szCs w:val="28"/>
          <w:highlight w:val="none"/>
          <w:shd w:val="clear" w:fill="FFFFFF"/>
        </w:rPr>
        <w:t>。省级主管预算单位可结合本部门业务特点制定统一的部门集中采购项目范围及限额标准，供各地参考执行。各级主管预算单位也可以自行确定，报同级财政部门备案后实施。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六、全省原则上实行相对统一的</w:t>
      </w:r>
      <w:r>
        <w:rPr>
          <w:rFonts w:hint="eastAsia" w:asciiTheme="minorEastAsia" w:hAnsiTheme="minorEastAsia" w:eastAsiaTheme="minorEastAsia" w:cstheme="minorEastAsia"/>
          <w:i w:val="0"/>
          <w:caps w:val="0"/>
          <w:color w:val="FF0000"/>
          <w:spacing w:val="0"/>
          <w:sz w:val="28"/>
          <w:szCs w:val="28"/>
          <w:highlight w:val="none"/>
          <w:shd w:val="clear" w:fill="FFFFFF"/>
        </w:rPr>
        <w:t>集中采购目录</w:t>
      </w:r>
      <w:r>
        <w:rPr>
          <w:rFonts w:hint="eastAsia" w:asciiTheme="minorEastAsia" w:hAnsiTheme="minorEastAsia" w:eastAsiaTheme="minorEastAsia" w:cstheme="minorEastAsia"/>
          <w:i w:val="0"/>
          <w:caps w:val="0"/>
          <w:color w:val="000000"/>
          <w:spacing w:val="0"/>
          <w:sz w:val="28"/>
          <w:szCs w:val="28"/>
          <w:highlight w:val="none"/>
          <w:shd w:val="clear" w:fill="FFFFFF"/>
        </w:rPr>
        <w:t>。各地级以上市人民政府可结合实际，在本集中采购目录的基础上适当增加品目，原则上不超过5个，并报省财政厅备案。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w:t>
      </w:r>
      <w:r>
        <w:rPr>
          <w:rFonts w:hint="eastAsia" w:asciiTheme="minorEastAsia" w:hAnsiTheme="minorEastAsia" w:eastAsiaTheme="minorEastAsia" w:cstheme="minorEastAsia"/>
          <w:i w:val="0"/>
          <w:caps w:val="0"/>
          <w:color w:val="000000"/>
          <w:spacing w:val="0"/>
          <w:sz w:val="28"/>
          <w:szCs w:val="28"/>
          <w:highlight w:val="none"/>
          <w:shd w:val="clear" w:fill="FFFFFF"/>
        </w:rPr>
        <w:t>　七、《目录及标准（2020年版）》自2021年1月1日起施行，《关于印发〈广东省2017年政府集中采购目录及标准〉的通知》（粤财采购〔2016〕7号）、《关于调整广东省政府采购限额标准的通知》（粤财采购〔2017〕7号）同时废止。</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righ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广东省财政厅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righ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2020年8月12日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center"/>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br w:type="textWrapping"/>
      </w:r>
      <w:r>
        <w:rPr>
          <w:rStyle w:val="8"/>
          <w:rFonts w:hint="eastAsia" w:asciiTheme="minorEastAsia" w:hAnsiTheme="minorEastAsia" w:eastAsiaTheme="minorEastAsia" w:cstheme="minorEastAsia"/>
          <w:i w:val="0"/>
          <w:caps w:val="0"/>
          <w:color w:val="000000"/>
          <w:spacing w:val="0"/>
          <w:sz w:val="28"/>
          <w:szCs w:val="28"/>
          <w:highlight w:val="none"/>
          <w:shd w:val="clear" w:fill="FFFFFF"/>
        </w:rPr>
        <w:t>广东省政府集中采购目录及标准（2020年版）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w:t>
      </w:r>
      <w:r>
        <w:rPr>
          <w:rStyle w:val="8"/>
          <w:rFonts w:hint="eastAsia" w:asciiTheme="minorEastAsia" w:hAnsiTheme="minorEastAsia" w:eastAsiaTheme="minorEastAsia" w:cstheme="minorEastAsia"/>
          <w:i w:val="0"/>
          <w:caps w:val="0"/>
          <w:color w:val="000000"/>
          <w:spacing w:val="0"/>
          <w:sz w:val="28"/>
          <w:szCs w:val="28"/>
          <w:highlight w:val="none"/>
          <w:shd w:val="clear" w:fill="FFFFFF"/>
        </w:rPr>
        <w:t>　一、集中采购目录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yellow"/>
        </w:rPr>
      </w:pPr>
      <w:r>
        <w:rPr>
          <w:rFonts w:hint="eastAsia" w:asciiTheme="minorEastAsia" w:hAnsiTheme="minorEastAsia" w:eastAsiaTheme="minorEastAsia" w:cstheme="minorEastAsia"/>
          <w:i w:val="0"/>
          <w:caps w:val="0"/>
          <w:color w:val="000000"/>
          <w:spacing w:val="0"/>
          <w:sz w:val="28"/>
          <w:szCs w:val="28"/>
          <w:highlight w:val="none"/>
          <w:shd w:val="clear" w:fill="FFFFFF"/>
        </w:rPr>
        <w:t>　　</w:t>
      </w:r>
      <w:r>
        <w:rPr>
          <w:rFonts w:hint="eastAsia" w:asciiTheme="minorEastAsia" w:hAnsiTheme="minorEastAsia" w:eastAsiaTheme="minorEastAsia" w:cstheme="minorEastAsia"/>
          <w:i w:val="0"/>
          <w:caps w:val="0"/>
          <w:color w:val="000000"/>
          <w:spacing w:val="0"/>
          <w:sz w:val="28"/>
          <w:szCs w:val="28"/>
          <w:highlight w:val="yellow"/>
          <w:shd w:val="clear" w:fill="FFFFFF"/>
        </w:rPr>
        <w:t>凡纳入集中采购目录的项目均须按规定委托集中采购机构采购。</w:t>
      </w:r>
    </w:p>
    <w:tbl>
      <w:tblPr>
        <w:tblStyle w:val="6"/>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1235"/>
        <w:gridCol w:w="2645"/>
        <w:gridCol w:w="1623"/>
        <w:gridCol w:w="30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single" w:color="000000" w:sz="4" w:space="0"/>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Style w:val="8"/>
                <w:rFonts w:hint="eastAsia" w:asciiTheme="minorEastAsia" w:hAnsiTheme="minorEastAsia" w:eastAsiaTheme="minorEastAsia" w:cstheme="minorEastAsia"/>
                <w:i w:val="0"/>
                <w:caps w:val="0"/>
                <w:color w:val="000000"/>
                <w:spacing w:val="0"/>
                <w:sz w:val="28"/>
                <w:szCs w:val="28"/>
                <w:highlight w:val="none"/>
              </w:rPr>
              <w:t>序号</w:t>
            </w:r>
          </w:p>
        </w:tc>
        <w:tc>
          <w:tcPr>
            <w:tcW w:w="1555" w:type="pct"/>
            <w:tcBorders>
              <w:top w:val="single" w:color="000000" w:sz="4" w:space="0"/>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Style w:val="8"/>
                <w:rFonts w:hint="eastAsia" w:asciiTheme="minorEastAsia" w:hAnsiTheme="minorEastAsia" w:eastAsiaTheme="minorEastAsia" w:cstheme="minorEastAsia"/>
                <w:i w:val="0"/>
                <w:caps w:val="0"/>
                <w:color w:val="000000"/>
                <w:spacing w:val="0"/>
                <w:sz w:val="28"/>
                <w:szCs w:val="28"/>
                <w:highlight w:val="none"/>
              </w:rPr>
              <w:t>品目</w:t>
            </w:r>
          </w:p>
        </w:tc>
        <w:tc>
          <w:tcPr>
            <w:tcW w:w="954" w:type="pct"/>
            <w:tcBorders>
              <w:top w:val="single" w:color="000000" w:sz="4" w:space="0"/>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Style w:val="8"/>
                <w:rFonts w:hint="eastAsia" w:asciiTheme="minorEastAsia" w:hAnsiTheme="minorEastAsia" w:eastAsiaTheme="minorEastAsia" w:cstheme="minorEastAsia"/>
                <w:i w:val="0"/>
                <w:caps w:val="0"/>
                <w:color w:val="000000"/>
                <w:spacing w:val="0"/>
                <w:sz w:val="28"/>
                <w:szCs w:val="28"/>
                <w:highlight w:val="none"/>
              </w:rPr>
              <w:t>编码</w:t>
            </w:r>
          </w:p>
        </w:tc>
        <w:tc>
          <w:tcPr>
            <w:tcW w:w="1763" w:type="pct"/>
            <w:tcBorders>
              <w:top w:val="single" w:color="000000" w:sz="4" w:space="0"/>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Style w:val="8"/>
                <w:rFonts w:hint="eastAsia" w:asciiTheme="minorEastAsia" w:hAnsiTheme="minorEastAsia" w:eastAsiaTheme="minorEastAsia" w:cstheme="minorEastAsia"/>
                <w:i w:val="0"/>
                <w:caps w:val="0"/>
                <w:color w:val="000000"/>
                <w:spacing w:val="0"/>
                <w:sz w:val="28"/>
                <w:szCs w:val="28"/>
                <w:highlight w:val="none"/>
              </w:rPr>
              <w:t>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1</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服务器</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A02010103</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2</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台式计算机</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A02010104</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3</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便携式计算机</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A02010105</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4</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喷墨打印机</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A0201060101</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5</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激光打印机</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A0201060102</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6</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针式打印机</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A0201060104</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7</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液晶显示器</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A0201060401</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8</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扫描仪</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A0201060901</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9</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基础软件</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A02010801</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指非定制的通用商业软件。包括操作系统、数据库管理系统、中间件、办公套件等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10</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信息安全软件</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A02010805</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指非定制的通用商业软件。包括基础和平台类安全软件、数据安全软件、网络与边界安全软件、安全测试评估软件、安全应用软件、安全支撑软件、安全管理软件等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11</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复印机</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A020201</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不包括印刷机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12</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投影仪  </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A020202</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用于测量、测绘等专用投影仪除外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13</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多功能一体机</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A020204</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14</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LED显示屏</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A020207</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15</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触控一体机  </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A020208</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16</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碎纸机</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A02021101</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17</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乘用车</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A020305</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指轿车、越野车、商务车、皮卡，包含新能源汽车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18</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客车</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A020306</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指小型、大中型客车，包含新能源汽车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19</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电梯</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A02051228</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top"/>
          </w:tcPr>
          <w:p>
            <w:pPr>
              <w:keepNext w:val="0"/>
              <w:keepLines w:val="0"/>
              <w:widowControl/>
              <w:suppressLineNumbers w:val="0"/>
              <w:wordWrap w:val="0"/>
              <w:spacing w:line="360" w:lineRule="auto"/>
              <w:ind w:left="0" w:firstLine="0"/>
              <w:jc w:val="left"/>
              <w:textAlignment w:val="top"/>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20</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不间断电源（UPS）</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A02061504</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21</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空调机</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A0206180203</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不包括中央空调、多联式空调、精密空调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22</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视频会议系统设备</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A020808</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23</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办公家具</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A06</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指木制或木制为主、钢制或钢制为主、铝制或铝制为主的办公家具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24</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复印纸</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A090101</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25</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装修工程</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B07</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指与建筑物、构筑物新建、改建、扩建无关的单独的装修工程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26</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修缮工程</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B08</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指与建筑物、构筑物新建、改建、扩建无关的单独的修缮工程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27</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互联网接入服务</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C030102 </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28</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法律服务</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C0801</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29</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审计服务</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C0803</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30</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资产及其他评估服务</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C0805</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keepNext w:val="0"/>
              <w:keepLines w:val="0"/>
              <w:widowControl/>
              <w:suppressLineNumbers w:val="0"/>
              <w:wordWrap w:val="0"/>
              <w:spacing w:line="360" w:lineRule="auto"/>
              <w:ind w:left="0" w:firstLine="0"/>
              <w:jc w:val="left"/>
              <w:textAlignment w:val="center"/>
              <w:rPr>
                <w:rFonts w:hint="eastAsia" w:asciiTheme="minorEastAsia" w:hAnsiTheme="minorEastAsia" w:eastAsiaTheme="minorEastAsia" w:cstheme="minorEastAsia"/>
                <w:i w:val="0"/>
                <w:caps w:val="0"/>
                <w:color w:val="000000"/>
                <w:spacing w:val="0"/>
                <w:sz w:val="28"/>
                <w:szCs w:val="28"/>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31</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印刷服务</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C081401</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指本单位文印部门不能承担的票据、证书、期刊、文件、公文用纸、资料汇编、信封等印刷业务（不包括出版服务）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26" w:type="pct"/>
            <w:tcBorders>
              <w:top w:val="nil"/>
              <w:left w:val="single" w:color="000000" w:sz="4" w:space="0"/>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32</w:t>
            </w:r>
          </w:p>
        </w:tc>
        <w:tc>
          <w:tcPr>
            <w:tcW w:w="1555"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物业管理服务</w:t>
            </w:r>
          </w:p>
        </w:tc>
        <w:tc>
          <w:tcPr>
            <w:tcW w:w="954"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C1204</w:t>
            </w:r>
          </w:p>
        </w:tc>
        <w:tc>
          <w:tcPr>
            <w:tcW w:w="1763" w:type="pct"/>
            <w:tcBorders>
              <w:top w:val="nil"/>
              <w:left w:val="nil"/>
              <w:bottom w:val="single" w:color="000000" w:sz="4" w:space="0"/>
              <w:right w:val="single" w:color="000000" w:sz="4" w:space="0"/>
            </w:tcBorders>
            <w:shd w:val="clear" w:color="auto" w:fill="FFFFFF"/>
            <w:tcMar>
              <w:top w:w="50" w:type="dxa"/>
              <w:left w:w="100" w:type="dxa"/>
              <w:bottom w:w="50" w:type="dxa"/>
              <w:right w:w="10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60" w:lineRule="auto"/>
              <w:ind w:left="30" w:right="30"/>
              <w:jc w:val="left"/>
              <w:rPr>
                <w:rFonts w:hint="eastAsia" w:asciiTheme="minorEastAsia" w:hAnsiTheme="minorEastAsia" w:eastAsiaTheme="minorEastAsia" w:cstheme="minorEastAsia"/>
                <w:b w:val="0"/>
                <w:sz w:val="28"/>
                <w:szCs w:val="28"/>
                <w:highlight w:val="none"/>
              </w:rPr>
            </w:pPr>
            <w:r>
              <w:rPr>
                <w:rFonts w:hint="eastAsia" w:asciiTheme="minorEastAsia" w:hAnsiTheme="minorEastAsia" w:eastAsiaTheme="minorEastAsia" w:cstheme="minorEastAsia"/>
                <w:b w:val="0"/>
                <w:i w:val="0"/>
                <w:caps w:val="0"/>
                <w:color w:val="000000"/>
                <w:spacing w:val="0"/>
                <w:sz w:val="28"/>
                <w:szCs w:val="28"/>
                <w:highlight w:val="none"/>
              </w:rPr>
              <w:t>指本单位不能承担的办公场所水电供应、设备运行、门窗保养维护、保洁、保安、绿化养护的物业管理及服务（单独实施的保安服务项目除外）</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注：1.表中所列项目根据财政部《政府采购品目分类目录》（财库〔2013〕189号）制定，除我省另有补充说明外，各品目具体内容按照财政部</w:t>
      </w:r>
      <w:r>
        <w:rPr>
          <w:rFonts w:hint="eastAsia" w:asciiTheme="minorEastAsia" w:hAnsiTheme="minorEastAsia" w:eastAsiaTheme="minorEastAsia" w:cstheme="minorEastAsia"/>
          <w:i w:val="0"/>
          <w:caps w:val="0"/>
          <w:color w:val="FF0000"/>
          <w:spacing w:val="0"/>
          <w:sz w:val="28"/>
          <w:szCs w:val="28"/>
          <w:highlight w:val="none"/>
          <w:shd w:val="clear" w:fill="FFFFFF"/>
        </w:rPr>
        <w:t>《政府采购品目分类目录》（财库〔2013〕189号）</w:t>
      </w:r>
      <w:r>
        <w:rPr>
          <w:rFonts w:hint="eastAsia" w:asciiTheme="minorEastAsia" w:hAnsiTheme="minorEastAsia" w:eastAsiaTheme="minorEastAsia" w:cstheme="minorEastAsia"/>
          <w:i w:val="0"/>
          <w:caps w:val="0"/>
          <w:color w:val="000000"/>
          <w:spacing w:val="0"/>
          <w:sz w:val="28"/>
          <w:szCs w:val="28"/>
          <w:highlight w:val="none"/>
          <w:shd w:val="clear" w:fill="FFFFFF"/>
        </w:rPr>
        <w:t>对应内容解释确定。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2.表中所列项目不包括部门集中采购项目和高校、科研机构所采购的科研仪器设备。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Style w:val="8"/>
          <w:rFonts w:hint="eastAsia" w:asciiTheme="minorEastAsia" w:hAnsiTheme="minorEastAsia" w:eastAsiaTheme="minorEastAsia" w:cstheme="minorEastAsia"/>
          <w:i w:val="0"/>
          <w:caps w:val="0"/>
          <w:color w:val="000000"/>
          <w:spacing w:val="0"/>
          <w:sz w:val="28"/>
          <w:szCs w:val="28"/>
          <w:highlight w:val="none"/>
          <w:shd w:val="clear" w:fill="FFFFFF"/>
        </w:rPr>
        <w:t>　　</w:t>
      </w:r>
      <w:r>
        <w:rPr>
          <w:rStyle w:val="8"/>
          <w:rFonts w:hint="eastAsia" w:asciiTheme="minorEastAsia" w:hAnsiTheme="minorEastAsia" w:eastAsiaTheme="minorEastAsia" w:cstheme="minorEastAsia"/>
          <w:i w:val="0"/>
          <w:caps w:val="0"/>
          <w:color w:val="000000"/>
          <w:spacing w:val="0"/>
          <w:sz w:val="28"/>
          <w:szCs w:val="28"/>
          <w:highlight w:val="none"/>
          <w:shd w:val="clear" w:fill="FFFFFF"/>
        </w:rPr>
        <w:t>二、部门集中采购</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各级主管预算单位对本部门或系统有特殊要求，需要统一配置的货物、工程和服务类专用项目，可结合实际工作需要自行确定本部门或系统的部门集中采购项目范围及限额标准，报同级财政部门备案后实施。</w:t>
      </w:r>
      <w:r>
        <w:rPr>
          <w:rFonts w:hint="eastAsia" w:asciiTheme="minorEastAsia" w:hAnsiTheme="minorEastAsia" w:eastAsiaTheme="minorEastAsia" w:cstheme="minorEastAsia"/>
          <w:i w:val="0"/>
          <w:caps w:val="0"/>
          <w:color w:val="000000"/>
          <w:spacing w:val="0"/>
          <w:sz w:val="28"/>
          <w:szCs w:val="28"/>
          <w:highlight w:val="none"/>
          <w:shd w:val="clear" w:fill="FFFFFF"/>
        </w:rPr>
        <w:t>部门集中采购项目的限额标准不得高于分散采购限额标准。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Style w:val="8"/>
          <w:rFonts w:hint="eastAsia" w:asciiTheme="minorEastAsia" w:hAnsiTheme="minorEastAsia" w:eastAsiaTheme="minorEastAsia" w:cstheme="minorEastAsia"/>
          <w:i w:val="0"/>
          <w:caps w:val="0"/>
          <w:color w:val="000000"/>
          <w:spacing w:val="0"/>
          <w:sz w:val="28"/>
          <w:szCs w:val="28"/>
          <w:highlight w:val="none"/>
          <w:shd w:val="clear" w:fill="FFFFFF"/>
        </w:rPr>
        <w:t>　　三、分散采购限额标准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w:t>
      </w:r>
      <w:r>
        <w:rPr>
          <w:rFonts w:hint="eastAsia" w:asciiTheme="minorEastAsia" w:hAnsiTheme="minorEastAsia" w:eastAsiaTheme="minorEastAsia" w:cstheme="minorEastAsia"/>
          <w:i w:val="0"/>
          <w:caps w:val="0"/>
          <w:color w:val="000000"/>
          <w:spacing w:val="0"/>
          <w:sz w:val="28"/>
          <w:szCs w:val="28"/>
          <w:highlight w:val="yellow"/>
          <w:shd w:val="clear" w:fill="FFFFFF"/>
        </w:rPr>
        <w:t>　除集中采购机构采购项目和部门集中采购项目外，单项或批量金额达到100万元以上（含100万元，下同）的货物、工程和服务项目应执行《中华人民共和国政府采购法》和《中华人民共和国招标投标法》有关规定，实行分散采购。</w:t>
      </w: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w:t>
      </w:r>
      <w:r>
        <w:rPr>
          <w:rStyle w:val="8"/>
          <w:rFonts w:hint="eastAsia" w:asciiTheme="minorEastAsia" w:hAnsiTheme="minorEastAsia" w:eastAsiaTheme="minorEastAsia" w:cstheme="minorEastAsia"/>
          <w:i w:val="0"/>
          <w:caps w:val="0"/>
          <w:color w:val="000000"/>
          <w:spacing w:val="0"/>
          <w:sz w:val="28"/>
          <w:szCs w:val="28"/>
          <w:highlight w:val="none"/>
          <w:shd w:val="clear" w:fill="FFFFFF"/>
        </w:rPr>
        <w:t>　四、公开招标数额标准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Style w:val="8"/>
          <w:rFonts w:hint="eastAsia" w:asciiTheme="minorEastAsia" w:hAnsiTheme="minorEastAsia" w:eastAsiaTheme="minorEastAsia" w:cstheme="minorEastAsia"/>
          <w:i w:val="0"/>
          <w:caps w:val="0"/>
          <w:color w:val="000000"/>
          <w:spacing w:val="0"/>
          <w:sz w:val="28"/>
          <w:szCs w:val="28"/>
          <w:highlight w:val="none"/>
          <w:shd w:val="clear" w:fill="FFFFFF"/>
        </w:rPr>
        <w:t>　　（一）货物和服务类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单项或批量金额400万元以上的货物和服务项目，应采用公开招标方式。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Style w:val="8"/>
          <w:rFonts w:hint="eastAsia" w:asciiTheme="minorEastAsia" w:hAnsiTheme="minorEastAsia" w:eastAsiaTheme="minorEastAsia" w:cstheme="minorEastAsia"/>
          <w:i w:val="0"/>
          <w:caps w:val="0"/>
          <w:color w:val="000000"/>
          <w:spacing w:val="0"/>
          <w:sz w:val="28"/>
          <w:szCs w:val="28"/>
          <w:highlight w:val="none"/>
          <w:shd w:val="clear" w:fill="FFFFFF"/>
        </w:rPr>
        <w:t>　　（二）工程类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施工单项合同估算价400万元以上的工程项目、与工程建设有关的重要设备、材料等货物项目200万元以上的以及与工程建设有关的勘察、设计、监理等服务项目100万元以上的，必须招标。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政府采购工程以及与工程建设有关的货物、服务，采用招标方式采购的，适用《中华人民共和国招标投标法》及其实施条例；采用其他方式采购的，适用《中华人民共和国政府采购法》及其实施条例。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i w:val="0"/>
          <w:caps w:val="0"/>
          <w:color w:val="000000"/>
          <w:spacing w:val="0"/>
          <w:sz w:val="28"/>
          <w:szCs w:val="28"/>
          <w:highlight w:val="none"/>
        </w:rPr>
      </w:pPr>
      <w:r>
        <w:rPr>
          <w:rStyle w:val="8"/>
          <w:rFonts w:hint="eastAsia" w:asciiTheme="minorEastAsia" w:hAnsiTheme="minorEastAsia" w:eastAsiaTheme="minorEastAsia" w:cstheme="minorEastAsia"/>
          <w:i w:val="0"/>
          <w:caps w:val="0"/>
          <w:color w:val="000000"/>
          <w:spacing w:val="0"/>
          <w:sz w:val="28"/>
          <w:szCs w:val="28"/>
          <w:highlight w:val="none"/>
          <w:shd w:val="clear" w:fill="FFFFFF"/>
        </w:rPr>
        <w:t>　　五、涉密采购规定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60" w:lineRule="auto"/>
        <w:ind w:left="30" w:right="30" w:firstLine="0"/>
        <w:jc w:val="left"/>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i w:val="0"/>
          <w:caps w:val="0"/>
          <w:color w:val="000000"/>
          <w:spacing w:val="0"/>
          <w:sz w:val="28"/>
          <w:szCs w:val="28"/>
          <w:highlight w:val="none"/>
          <w:shd w:val="clear" w:fill="FFFFFF"/>
        </w:rPr>
        <w:t>　　涉密政府采购项目按照《涉密政府采购管理暂行办法》（财库〔2019〕39号）相关规定执行。</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YTFiMjFiZThiNjVkOGZjODY5ZWE4ODU3NzVmMmQifQ=="/>
  </w:docVars>
  <w:rsids>
    <w:rsidRoot w:val="6DFC1966"/>
    <w:rsid w:val="18D34CF5"/>
    <w:rsid w:val="5FEF3176"/>
    <w:rsid w:val="64B4573B"/>
    <w:rsid w:val="6996350D"/>
    <w:rsid w:val="6DFC1966"/>
    <w:rsid w:val="7CC643A1"/>
    <w:rsid w:val="7D702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2334</Words>
  <Characters>2659</Characters>
  <Lines>0</Lines>
  <Paragraphs>0</Paragraphs>
  <TotalTime>32</TotalTime>
  <ScaleCrop>false</ScaleCrop>
  <LinksUpToDate>false</LinksUpToDate>
  <CharactersWithSpaces>2715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2020-09-07T08:21:00Z</dcterms:created>
  <dc:creator>WPS_1559532811</dc:creator>
  <cp:lastModifiedBy>WPS_1559532811</cp:lastModifiedBy>
  <dcterms:modified xsi:type="dcterms:W3CDTF">2024-03-27T09:56:51Z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75B978FF4E0C43DAACD2042BD865477F</vt:lpwstr>
  </property>
</Properties>
</file>