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360" w:lineRule="auto"/>
        <w:jc w:val="center"/>
        <w:rPr>
          <w:rFonts w:hint="default" w:asciiTheme="minorEastAsia" w:hAnsiTheme="minorEastAsia" w:eastAsiaTheme="minorEastAsia" w:cstheme="minorEastAsia"/>
          <w:b w:val="0"/>
          <w:color w:val="000000"/>
          <w:sz w:val="28"/>
          <w:szCs w:val="28"/>
        </w:rPr>
      </w:pPr>
      <w:r>
        <w:rPr>
          <w:rFonts w:asciiTheme="minorEastAsia" w:hAnsiTheme="minorEastAsia" w:eastAsiaTheme="minorEastAsia" w:cstheme="minorEastAsia"/>
          <w:bCs/>
          <w:color w:val="000000"/>
          <w:sz w:val="28"/>
          <w:szCs w:val="28"/>
          <w:shd w:val="clear" w:color="auto" w:fill="FFFFFF"/>
        </w:rPr>
        <w:t>广东省财政厅关于规范省级单一来源采购方式审批和进口产品核准管理有关事项的通知</w:t>
      </w:r>
    </w:p>
    <w:p>
      <w:pPr>
        <w:widowControl/>
        <w:shd w:val="clear" w:color="auto" w:fill="FFFFFF"/>
        <w:spacing w:line="360" w:lineRule="auto"/>
        <w:jc w:val="left"/>
        <w:rPr>
          <w:rFonts w:asciiTheme="minorEastAsia" w:hAnsiTheme="minorEastAsia" w:cstheme="minorEastAsia"/>
          <w:color w:val="000000"/>
          <w:sz w:val="28"/>
          <w:szCs w:val="28"/>
        </w:rPr>
      </w:pPr>
      <w:r>
        <w:rPr>
          <w:rFonts w:hint="eastAsia" w:asciiTheme="minorEastAsia" w:hAnsiTheme="minorEastAsia" w:cstheme="minorEastAsia"/>
          <w:color w:val="828282"/>
          <w:kern w:val="0"/>
          <w:sz w:val="28"/>
          <w:szCs w:val="28"/>
          <w:shd w:val="clear" w:color="auto" w:fill="FFFFFF"/>
        </w:rPr>
        <w:t>2020-07-30</w:t>
      </w:r>
      <w:r>
        <w:rPr>
          <w:rFonts w:hint="eastAsia" w:asciiTheme="minorEastAsia" w:hAnsiTheme="minorEastAsia" w:cstheme="minorEastAsia"/>
          <w:color w:val="000000"/>
          <w:kern w:val="0"/>
          <w:sz w:val="28"/>
          <w:szCs w:val="28"/>
          <w:shd w:val="clear" w:color="auto" w:fill="FFFFFF"/>
        </w:rPr>
        <w:t> </w:t>
      </w:r>
      <w:r>
        <w:rPr>
          <w:rFonts w:hint="eastAsia" w:asciiTheme="minorEastAsia" w:hAnsiTheme="minorEastAsia" w:cstheme="minorEastAsia"/>
          <w:color w:val="828282"/>
          <w:kern w:val="0"/>
          <w:sz w:val="28"/>
          <w:szCs w:val="28"/>
          <w:shd w:val="clear" w:color="auto" w:fill="FFFFFF"/>
        </w:rPr>
        <w:t>来源：本网原创稿</w:t>
      </w:r>
    </w:p>
    <w:p>
      <w:pPr>
        <w:widowControl/>
        <w:shd w:val="clear" w:color="auto" w:fill="FFFFFF"/>
        <w:spacing w:line="360" w:lineRule="auto"/>
        <w:jc w:val="left"/>
        <w:rPr>
          <w:rFonts w:asciiTheme="minorEastAsia" w:hAnsiTheme="minorEastAsia" w:cstheme="minorEastAsia"/>
          <w:color w:val="000000"/>
          <w:sz w:val="28"/>
          <w:szCs w:val="28"/>
        </w:rPr>
      </w:pPr>
      <w:r>
        <w:fldChar w:fldCharType="begin"/>
      </w:r>
      <w:r>
        <w:instrText xml:space="preserve"> HYPERLINK "http://czt.gd.gov.cn/tzgg/content/post_3055876.html" \o "分享到微信" </w:instrText>
      </w:r>
      <w:r>
        <w:fldChar w:fldCharType="separate"/>
      </w:r>
      <w:r>
        <w:fldChar w:fldCharType="end"/>
      </w:r>
      <w:r>
        <w:fldChar w:fldCharType="begin"/>
      </w:r>
      <w:r>
        <w:instrText xml:space="preserve"> HYPERLINK "http://czt.gd.gov.cn/tzgg/content/post_3055876.html" \o "分享到新浪微博" </w:instrText>
      </w:r>
      <w:r>
        <w:fldChar w:fldCharType="separate"/>
      </w:r>
      <w:r>
        <w:fldChar w:fldCharType="end"/>
      </w:r>
      <w:r>
        <w:fldChar w:fldCharType="begin"/>
      </w:r>
      <w:r>
        <w:instrText xml:space="preserve"> HYPERLINK "http://czt.gd.gov.cn/tzgg/content/post_3055876.html" \o "分享到QQ好友" </w:instrText>
      </w:r>
      <w:r>
        <w:fldChar w:fldCharType="separate"/>
      </w:r>
      <w:r>
        <w:fldChar w:fldCharType="end"/>
      </w:r>
    </w:p>
    <w:p>
      <w:pPr>
        <w:pStyle w:val="5"/>
        <w:widowControl/>
        <w:shd w:val="clear" w:color="auto" w:fill="FFFFFF"/>
        <w:spacing w:beforeAutospacing="0" w:after="150" w:afterAutospacing="0" w:line="360" w:lineRule="auto"/>
        <w:ind w:left="30" w:right="30"/>
        <w:jc w:val="center"/>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粤财采购〔2020〕13号</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shd w:val="clear" w:color="auto" w:fill="FFFFFF"/>
        </w:rPr>
        <w:t>省直各单位：</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为贯彻落实深化政府采购制度改革方案精神，严格落实过“紧日子”的要求，根据《中华人民共和国政府采购法》及其实施条例等有关法律法规规定，现就规范省级单一来源采购方式审批和进口产品核准管理有关事项通知如下：</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一、严格审批单一来源采购方式</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（一）符合下列情形之一的货物或者服务，采购人可以依法采用单一来源方式采购：</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1.因货物或者服务使用不可替代的专利、专有技术，导致只能从某一特定供应商处采购的；</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2.公共服务项目具有特殊要求，只能从某一特定供应商处采购的；</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3.发生了不可预见的紧急情况不能从其他供应商处采购的；</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4.必须保证原有采购项目一致性或者服务配套的要求，需要继续从原供应商处添购，且添购资金总额不超过原合同采购金额百分之十的；</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5.公开招标数额标准以上的采购项目，投标（报价）截止后投标（报价）人仅有1家或者通过资格审查或符合性审查的投标（报价）人仅有1家的，经专家论证，采购文件没有不合理条款、采购程序符合规定的。</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（二）采购人应当按照“三重一大”事项决策制度，将达到公开招标数额标准的，拟采用单一来源采购方式的货物或服务项目列入本单位“三重一大”事项议事决策范围。</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三）采购人拟采用单一来源方式采购的，应当在采购活动开始前，邀请专业人员进行论证。专业人员可由采购人自行选定，也可从政府采购评审专家库中随机抽取。论证专业人员应当与采购人没有经济和行政隶属等关系。专业人员应当客观、独立地出具完整、清晰和明确的论证意见：</w:t>
      </w:r>
      <w:r>
        <w:rPr>
          <w:rStyle w:val="9"/>
          <w:rFonts w:hint="eastAsia" w:asciiTheme="minorEastAsia" w:hAnsiTheme="minorEastAsia" w:cstheme="minorEastAsia"/>
          <w:color w:val="000000"/>
          <w:sz w:val="28"/>
          <w:szCs w:val="28"/>
          <w:shd w:val="clear" w:color="auto" w:fill="FFFFFF"/>
        </w:rPr>
        <w:t>一是</w:t>
      </w:r>
      <w:r>
        <w:rPr>
          <w:rFonts w:hint="eastAsia" w:asciiTheme="minorEastAsia" w:hAnsiTheme="minorEastAsia" w:cstheme="minorEastAsia"/>
          <w:color w:val="000000"/>
          <w:sz w:val="28"/>
          <w:szCs w:val="28"/>
          <w:shd w:val="clear" w:color="auto" w:fill="FFFFFF"/>
        </w:rPr>
        <w:t>采购项目预算安排是否科学合理（附件1）；</w:t>
      </w:r>
      <w:r>
        <w:rPr>
          <w:rStyle w:val="9"/>
          <w:rFonts w:hint="eastAsia" w:asciiTheme="minorEastAsia" w:hAnsiTheme="minorEastAsia" w:cstheme="minorEastAsia"/>
          <w:color w:val="000000"/>
          <w:sz w:val="28"/>
          <w:szCs w:val="28"/>
          <w:shd w:val="clear" w:color="auto" w:fill="FFFFFF"/>
        </w:rPr>
        <w:t>二是</w:t>
      </w:r>
      <w:r>
        <w:rPr>
          <w:rFonts w:hint="eastAsia" w:asciiTheme="minorEastAsia" w:hAnsiTheme="minorEastAsia" w:cstheme="minorEastAsia"/>
          <w:color w:val="000000"/>
          <w:sz w:val="28"/>
          <w:szCs w:val="28"/>
          <w:shd w:val="clear" w:color="auto" w:fill="FFFFFF"/>
        </w:rPr>
        <w:t>采购项目是否必须从唯一供应商处采购（附件2）。论证意见应按照规定格式由专业人员手工填写。</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四）主管预算单位应当加强对本部门单一来源方式采购管理。对达到公开招标数额标准的货物或服务项目，拟采用单一来源采购方式的，应当重点审查该项目预算安排是否合理、是否属于《政府采购法》第三十一条以及《政府采购法实施条例》第二十七条规定情形，以及采用单一来源采购的必要性，并出具书面审查意见。</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（五）达到公开招标数额标准的货物或服务项目，拟采用单一来源方式的，采购人应当在采购活动开始前，报经主管预算单位同意后，向省财政厅行文申请批准并提交以下材料：</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1.采购人名称、采购项目名称、项目概况等基本情况说明；</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2.拟申请采用单一来源采购方式的理由；</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3.达到公开招标数额标准的，拟采用单一来源采购方式的货物或服务项目，需提供单位“三重一大”事项议事决定的会议纪要、记录等；</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4.主管预算单位的书面审查意见；</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5.参与论证的各专业人员的书面论证意见，以及专业人员的姓名、工作单位和职称；</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6.“广东省政府采购网”单一来源采购公示情况；</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7.采购项目的预算金额、项目预算金额的主要依据和理由、预算批复文件或者资金来源证明。</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二、从严核准政府采购进口产品</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（一）符合下列情形之一的，采购人可以采购进口产品：</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FF0000"/>
          <w:sz w:val="28"/>
          <w:szCs w:val="28"/>
        </w:rPr>
      </w:pPr>
      <w:r>
        <w:rPr>
          <w:rFonts w:hint="eastAsia" w:asciiTheme="minorEastAsia" w:hAnsiTheme="minorEastAsia" w:cstheme="minorEastAsia"/>
          <w:color w:val="000000"/>
          <w:sz w:val="28"/>
          <w:szCs w:val="28"/>
          <w:shd w:val="clear" w:color="auto" w:fill="FFFFFF"/>
        </w:rPr>
        <w:t>　　1</w:t>
      </w:r>
      <w:r>
        <w:rPr>
          <w:rFonts w:hint="eastAsia" w:asciiTheme="minorEastAsia" w:hAnsiTheme="minorEastAsia" w:cstheme="minorEastAsia"/>
          <w:color w:val="FF0000"/>
          <w:sz w:val="28"/>
          <w:szCs w:val="28"/>
          <w:shd w:val="clear" w:color="auto" w:fill="FFFFFF"/>
        </w:rPr>
        <w:t>.在中国境内无法获取的或者无法以合理的商业条件获取的；</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shd w:val="clear" w:color="auto" w:fill="FFFFFF"/>
        </w:rPr>
        <w:t>　　2.为在中国境外使用而进行采购的；</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shd w:val="clear" w:color="auto" w:fill="FFFFFF"/>
        </w:rPr>
        <w:t>　　3.国内有同类产品但无法满足实质需求，确需采购进口产品的；</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shd w:val="clear" w:color="auto" w:fill="FFFFFF"/>
        </w:rPr>
        <w:t>　　4.省属高校、科研院所以及使用省社科项目资金采购科研仪器设备的项目的承担单位采购科研仪器设备的。</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二）根据《关于完善省属高校、科研院所科研仪器设备采购管理有关事项的通知》（粤财采购〔2017〕3号）和《关于省级财政社会科学研究项目科研仪器设备采购管理有关事项的通知》（粤财采购〔2018〕2号），</w:t>
      </w:r>
      <w:r>
        <w:rPr>
          <w:rFonts w:hint="eastAsia" w:asciiTheme="minorEastAsia" w:hAnsiTheme="minorEastAsia" w:cstheme="minorEastAsia"/>
          <w:color w:val="FF0000"/>
          <w:sz w:val="28"/>
          <w:szCs w:val="28"/>
          <w:shd w:val="clear" w:color="auto" w:fill="FFFFFF"/>
        </w:rPr>
        <w:t>省属高校、科研院所以及使用省社科项目资金采购科研仪器设备的项目的承担单位采购科研仪器设备的实行备案制管理，无需报省财政厅核准。</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（三）采购人应当按照“三重一大”事项决策制度，将拟采购国产同类产品确实无法满足需求的进口产品项目，列入本单位“三重一大”事项议事决策范围。</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四）采购人拟采购进口产品的，应当在采购活动开始前，邀请专家进行专业论证，专家应当客观、独立地提出具体论证意见。专家组应当由5人以上单数组成，其中，必须包括1名法律专家，产品技术专家应当为熟悉该产品的专家。论证专家可由采购人自行选定，也可从政府采购评审专家库中随机抽取，论证专家应当与采购人没有经济和行政隶属等关系。采购人不得作为专家组成员参与论证。</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五）拟采购的产品有国产同类产品的，原则上不允许采购进口产品。确实需要采购进口产品的，采购人应当从进口产品的必要性、不可替代性、采购国产同类产品对工作的实质性影响等方面提出申请，论证专家应当客观、独立地就采购人的申请理由进行论证，论证意见应当完整、清晰和明确，并按照规定格式（详见附件4）由论证专家手工填写。</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六）主管预算单位应当加强对本部门政府采购进口产品管理。对所属单位拟申请采购进口产品的采购项目，应当重点审查拟采购的进口产品的是否存在超标准采购，采购需求是否合理，国产同类产品是否满足需求，采购进口产品的必要性等，并出具书面审查意见。</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七）除省属高校、科研院所以及使用省社科项目资金采购科研仪器设备的项目的承担单位采购科研仪器设备之外的政府采购进口产品项目，采购单位应当在采购活动开始前向负责核准进口产品的部门提出书面申请，并提交以下材料：</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1.采购项目概况、政府采购进口产品清单（附件3）；</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2.拟采购国产同类产品确实无法满足需求的进口产品的，需提供单位“三重一大”事项议事决定的会议纪要、记录等；</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3.主管预算单位的审查意见；</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4.申请采购进口产品的主要用途、必要性、不可替代性、采购国产同类产品对工作的实质性影响等理由；</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5.国内同类产品和进口产品的对比情况；</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6.参与论证专家的书面论证意见，以及专业人员的姓名、工作单位和职称；</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7.项目预算金额、预算批复文件或者资金来源证明。</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三、规范部门进口产品清单管理</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为深化政府采购简政放权，继续在</w:t>
      </w:r>
      <w:r>
        <w:rPr>
          <w:rFonts w:hint="eastAsia" w:asciiTheme="minorEastAsia" w:hAnsiTheme="minorEastAsia" w:cstheme="minorEastAsia"/>
          <w:color w:val="FF0000"/>
          <w:sz w:val="28"/>
          <w:szCs w:val="28"/>
          <w:shd w:val="clear" w:color="auto" w:fill="FFFFFF"/>
        </w:rPr>
        <w:t>省级</w:t>
      </w:r>
      <w:r>
        <w:rPr>
          <w:rFonts w:hint="eastAsia" w:asciiTheme="minorEastAsia" w:hAnsiTheme="minorEastAsia" w:cstheme="minorEastAsia"/>
          <w:color w:val="000000"/>
          <w:sz w:val="28"/>
          <w:szCs w:val="28"/>
          <w:shd w:val="clear" w:color="auto" w:fill="FFFFFF"/>
        </w:rPr>
        <w:t>推行部门进口产品清单管理。</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（一）制定主体</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由省级主管预算单位结合部门采购需求特点制定部门进口产品清单。</w:t>
      </w:r>
      <w:r>
        <w:rPr>
          <w:rFonts w:hint="eastAsia" w:asciiTheme="minorEastAsia" w:hAnsiTheme="minorEastAsia" w:cstheme="minorEastAsia"/>
          <w:color w:val="FF0000"/>
          <w:sz w:val="28"/>
          <w:szCs w:val="28"/>
          <w:shd w:val="clear" w:color="auto" w:fill="FFFFFF"/>
        </w:rPr>
        <w:t>清单实行动态管理，有效期限为1年。</w:t>
      </w:r>
      <w:r>
        <w:rPr>
          <w:rFonts w:hint="eastAsia" w:asciiTheme="minorEastAsia" w:hAnsiTheme="minorEastAsia" w:cstheme="minorEastAsia"/>
          <w:color w:val="000000"/>
          <w:sz w:val="28"/>
          <w:szCs w:val="28"/>
          <w:shd w:val="clear" w:color="auto" w:fill="FFFFFF"/>
        </w:rPr>
        <w:t>清单有效期内，供应商提出异议的，主管预算单位应及时进行</w:t>
      </w:r>
      <w:r>
        <w:rPr>
          <w:rFonts w:hint="eastAsia" w:asciiTheme="minorEastAsia" w:hAnsiTheme="minorEastAsia" w:cstheme="minorEastAsia"/>
          <w:color w:val="FF0000"/>
          <w:sz w:val="28"/>
          <w:szCs w:val="28"/>
          <w:shd w:val="clear" w:color="auto" w:fill="FFFFFF"/>
        </w:rPr>
        <w:t>动态调整。</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（二）适用方式</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w:t>
      </w:r>
      <w:r>
        <w:rPr>
          <w:rStyle w:val="9"/>
          <w:rFonts w:hint="eastAsia" w:asciiTheme="minorEastAsia" w:hAnsiTheme="minorEastAsia" w:cstheme="minorEastAsia"/>
          <w:color w:val="FF0000"/>
          <w:sz w:val="28"/>
          <w:szCs w:val="28"/>
          <w:shd w:val="clear" w:color="auto" w:fill="FFFFFF"/>
        </w:rPr>
        <w:t>1.国内无同类产品的进口产品</w:t>
      </w:r>
      <w:r>
        <w:rPr>
          <w:rStyle w:val="9"/>
          <w:rFonts w:hint="eastAsia" w:asciiTheme="minorEastAsia" w:hAnsiTheme="minorEastAsia" w:cstheme="minorEastAsia"/>
          <w:color w:val="000000"/>
          <w:sz w:val="28"/>
          <w:szCs w:val="28"/>
          <w:shd w:val="clear" w:color="auto" w:fill="FFFFFF"/>
        </w:rPr>
        <w:t>。</w:t>
      </w:r>
      <w:r>
        <w:rPr>
          <w:rFonts w:hint="eastAsia" w:asciiTheme="minorEastAsia" w:hAnsiTheme="minorEastAsia" w:cstheme="minorEastAsia"/>
          <w:color w:val="000000"/>
          <w:sz w:val="28"/>
          <w:szCs w:val="28"/>
          <w:shd w:val="clear" w:color="auto" w:fill="FFFFFF"/>
        </w:rPr>
        <w:t>在清单有效期内，采购人采购清单内的产品</w:t>
      </w:r>
      <w:r>
        <w:rPr>
          <w:rFonts w:hint="eastAsia" w:asciiTheme="minorEastAsia" w:hAnsiTheme="minorEastAsia" w:cstheme="minorEastAsia"/>
          <w:color w:val="FF0000"/>
          <w:sz w:val="28"/>
          <w:szCs w:val="28"/>
          <w:shd w:val="clear" w:color="auto" w:fill="FFFFFF"/>
        </w:rPr>
        <w:t>无需重复组织专家论证，</w:t>
      </w:r>
      <w:r>
        <w:rPr>
          <w:rFonts w:hint="eastAsia" w:asciiTheme="minorEastAsia" w:hAnsiTheme="minorEastAsia" w:cstheme="minorEastAsia"/>
          <w:color w:val="000000"/>
          <w:sz w:val="28"/>
          <w:szCs w:val="28"/>
          <w:shd w:val="clear" w:color="auto" w:fill="FFFFFF"/>
        </w:rPr>
        <w:t>直接向省财政厅备案后开展采购活动。</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2.</w:t>
      </w:r>
      <w:r>
        <w:rPr>
          <w:rStyle w:val="9"/>
          <w:rFonts w:hint="eastAsia" w:asciiTheme="minorEastAsia" w:hAnsiTheme="minorEastAsia" w:cstheme="minorEastAsia"/>
          <w:color w:val="FF0000"/>
          <w:sz w:val="28"/>
          <w:szCs w:val="28"/>
          <w:shd w:val="clear" w:color="auto" w:fill="FFFFFF"/>
        </w:rPr>
        <w:t>国内有同类产品的进口产品。</w:t>
      </w:r>
      <w:r>
        <w:rPr>
          <w:rFonts w:hint="eastAsia" w:asciiTheme="minorEastAsia" w:hAnsiTheme="minorEastAsia" w:cstheme="minorEastAsia"/>
          <w:color w:val="000000"/>
          <w:sz w:val="28"/>
          <w:szCs w:val="28"/>
          <w:shd w:val="clear" w:color="auto" w:fill="FFFFFF"/>
        </w:rPr>
        <w:t>在清单有效期内，</w:t>
      </w:r>
      <w:r>
        <w:rPr>
          <w:rFonts w:hint="eastAsia" w:asciiTheme="minorEastAsia" w:hAnsiTheme="minorEastAsia" w:cstheme="minorEastAsia"/>
          <w:color w:val="FF0000"/>
          <w:sz w:val="28"/>
          <w:szCs w:val="28"/>
          <w:shd w:val="clear" w:color="auto" w:fill="FFFFFF"/>
        </w:rPr>
        <w:t>采购人应向主管预算单位提交需采购进口产品的主要用途、必要性、不可替代性、采购国产同类产品对工作的实质性影响等方面的说明，经主管预算单位审核同意，并向省财政厅备案后开展采购活动。</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（三）制定程序</w:t>
      </w:r>
      <w:bookmarkStart w:id="0" w:name="_GoBack"/>
      <w:bookmarkEnd w:id="0"/>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1.征集产品。</w:t>
      </w:r>
      <w:r>
        <w:rPr>
          <w:rFonts w:hint="eastAsia" w:asciiTheme="minorEastAsia" w:hAnsiTheme="minorEastAsia" w:cstheme="minorEastAsia"/>
          <w:color w:val="000000"/>
          <w:sz w:val="28"/>
          <w:szCs w:val="28"/>
          <w:shd w:val="clear" w:color="auto" w:fill="FFFFFF"/>
        </w:rPr>
        <w:t>主管预算单位负责征集并汇总年度本部门进口产品。具体包括进口产品名称和型号、采购进口产品的政策依据以及采购进口产品的必要性。</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2.专家论证。</w:t>
      </w:r>
      <w:r>
        <w:rPr>
          <w:rFonts w:hint="eastAsia" w:asciiTheme="minorEastAsia" w:hAnsiTheme="minorEastAsia" w:cstheme="minorEastAsia"/>
          <w:color w:val="000000"/>
          <w:sz w:val="28"/>
          <w:szCs w:val="28"/>
          <w:shd w:val="clear" w:color="auto" w:fill="FFFFFF"/>
        </w:rPr>
        <w:t>专家组应当由5人以上单数组成，其中，必须包括1名法律专家，产品技术专家应当为熟悉清单内产品的专家。专家组应当重点对进口产品的必要性、不可替代性、采购国产同类产品对工作的实质性影响等方面，进行客观、独立地的论证，论证意见应当完整、清晰和明确，并按照规定格式（详见附件4）由论证专家手工填写。</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3.公示。</w:t>
      </w:r>
      <w:r>
        <w:rPr>
          <w:rFonts w:hint="eastAsia" w:asciiTheme="minorEastAsia" w:hAnsiTheme="minorEastAsia" w:cstheme="minorEastAsia"/>
          <w:color w:val="000000"/>
          <w:sz w:val="28"/>
          <w:szCs w:val="28"/>
          <w:shd w:val="clear" w:color="auto" w:fill="FFFFFF"/>
        </w:rPr>
        <w:t>主管预算单位将论证后的清单在“广东省政府采购网”上公示，</w:t>
      </w:r>
      <w:r>
        <w:rPr>
          <w:rFonts w:hint="eastAsia" w:asciiTheme="minorEastAsia" w:hAnsiTheme="minorEastAsia" w:cstheme="minorEastAsia"/>
          <w:color w:val="FF0000"/>
          <w:sz w:val="28"/>
          <w:szCs w:val="28"/>
          <w:shd w:val="clear" w:color="auto" w:fill="FFFFFF"/>
        </w:rPr>
        <w:t>公示期不得少于10个工作日</w:t>
      </w:r>
      <w:r>
        <w:rPr>
          <w:rFonts w:hint="eastAsia" w:asciiTheme="minorEastAsia" w:hAnsiTheme="minorEastAsia" w:cstheme="minorEastAsia"/>
          <w:color w:val="000000"/>
          <w:sz w:val="28"/>
          <w:szCs w:val="28"/>
          <w:shd w:val="clear" w:color="auto" w:fill="FFFFFF"/>
        </w:rPr>
        <w:t>，公示内容应当包括但不限于：进口产品的名称和型号，进口产品的必要性及相关说明，专家组对拟采购的进口产品的具体论证意见以及专家组成员的姓名、工作单位和职称，公示的期限等。</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4.异议处理。</w:t>
      </w:r>
      <w:r>
        <w:rPr>
          <w:rFonts w:hint="eastAsia" w:asciiTheme="minorEastAsia" w:hAnsiTheme="minorEastAsia" w:cstheme="minorEastAsia"/>
          <w:color w:val="000000"/>
          <w:sz w:val="28"/>
          <w:szCs w:val="28"/>
          <w:shd w:val="clear" w:color="auto" w:fill="FFFFFF"/>
        </w:rPr>
        <w:t>任何供应商、单位或者个人对清单有异议的，可在公示期内或者有效期内向主管预算单位反映。主管预算单位应组织专家重新论证，异议事项成立的，应当将该产品从清单中删除。</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5.备案。</w:t>
      </w:r>
      <w:r>
        <w:rPr>
          <w:rFonts w:hint="eastAsia" w:asciiTheme="minorEastAsia" w:hAnsiTheme="minorEastAsia" w:cstheme="minorEastAsia"/>
          <w:color w:val="000000"/>
          <w:sz w:val="28"/>
          <w:szCs w:val="28"/>
          <w:shd w:val="clear" w:color="auto" w:fill="FFFFFF"/>
        </w:rPr>
        <w:t>公示期满后，主管预算单位应行文报省财政厅备案并附以下材料：</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（1）进口产品的必要性及相关说明；</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（2）参与论证的各专家的具体论证意见，以及论证专家的姓名、工作单位和职称；</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（3）进口产品清单公示情况及异议处理情况。</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Style w:val="9"/>
          <w:rFonts w:hint="eastAsia" w:asciiTheme="minorEastAsia" w:hAnsiTheme="minorEastAsia" w:cstheme="minorEastAsia"/>
          <w:color w:val="000000"/>
          <w:sz w:val="28"/>
          <w:szCs w:val="28"/>
          <w:shd w:val="clear" w:color="auto" w:fill="FFFFFF"/>
        </w:rPr>
        <w:t>　　四、加强政府采购监督管理　</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采购人应当按照“谁采购，谁负责”的原则，认真开展市场调查和价格测算，执行相关支出标准，合理科学确定采购需求。主管预算部门要从严管理单一来源方式变更和进口产品采购，建立健全部门政府采购内部管理制度。省财政厅将建立集交易和监管为一体的政府采购智慧云平台，利用智能监测、大数据预警等手段，全面反映各单位政府采购执行情况，通过政府采购透明度评估、财政绩效评审、政府采购代理机构考核等方式，加大对省级预算单位政府采购工作的监管力度。</w:t>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附件：</w:t>
      </w:r>
      <w:r>
        <w:fldChar w:fldCharType="begin"/>
      </w:r>
      <w:r>
        <w:instrText xml:space="preserve"> HYPERLINK "http://czt.gd.gov.cn/attachment/0/398/398089/3055876.docx" \t "http://czt.gd.gov.cn/tzgg/content/_blank" </w:instrText>
      </w:r>
      <w:r>
        <w:fldChar w:fldCharType="separate"/>
      </w:r>
      <w:r>
        <w:rPr>
          <w:rStyle w:val="10"/>
          <w:rFonts w:hint="eastAsia" w:asciiTheme="minorEastAsia" w:hAnsiTheme="minorEastAsia" w:cstheme="minorEastAsia"/>
          <w:color w:val="000000"/>
          <w:sz w:val="28"/>
          <w:szCs w:val="28"/>
          <w:u w:val="none"/>
          <w:shd w:val="clear" w:color="auto" w:fill="FFFFFF"/>
        </w:rPr>
        <w:t>1.单一来源采购项目预算金额专业人员论证意见</w:t>
      </w:r>
      <w:r>
        <w:rPr>
          <w:rStyle w:val="10"/>
          <w:rFonts w:hint="eastAsia" w:asciiTheme="minorEastAsia" w:hAnsiTheme="minorEastAsia" w:cstheme="minorEastAsia"/>
          <w:color w:val="000000"/>
          <w:sz w:val="28"/>
          <w:szCs w:val="28"/>
          <w:u w:val="none"/>
          <w:shd w:val="clear" w:color="auto" w:fill="FFFFFF"/>
        </w:rPr>
        <w:fldChar w:fldCharType="end"/>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w:t>
      </w:r>
      <w:r>
        <w:fldChar w:fldCharType="begin"/>
      </w:r>
      <w:r>
        <w:instrText xml:space="preserve"> HYPERLINK "http://czt.gd.gov.cn/attachment/0/398/398090/3055876.docx" \t "http://czt.gd.gov.cn/tzgg/content/_blank" </w:instrText>
      </w:r>
      <w:r>
        <w:fldChar w:fldCharType="separate"/>
      </w:r>
      <w:r>
        <w:rPr>
          <w:rStyle w:val="10"/>
          <w:rFonts w:hint="eastAsia" w:asciiTheme="minorEastAsia" w:hAnsiTheme="minorEastAsia" w:cstheme="minorEastAsia"/>
          <w:color w:val="000000"/>
          <w:sz w:val="28"/>
          <w:szCs w:val="28"/>
          <w:u w:val="none"/>
          <w:shd w:val="clear" w:color="auto" w:fill="FFFFFF"/>
        </w:rPr>
        <w:t>2.单一来源采购方式专业人员论证意见</w:t>
      </w:r>
      <w:r>
        <w:rPr>
          <w:rStyle w:val="10"/>
          <w:rFonts w:hint="eastAsia" w:asciiTheme="minorEastAsia" w:hAnsiTheme="minorEastAsia" w:cstheme="minorEastAsia"/>
          <w:color w:val="000000"/>
          <w:sz w:val="28"/>
          <w:szCs w:val="28"/>
          <w:u w:val="none"/>
          <w:shd w:val="clear" w:color="auto" w:fill="FFFFFF"/>
        </w:rPr>
        <w:fldChar w:fldCharType="end"/>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w:t>
      </w:r>
      <w:r>
        <w:fldChar w:fldCharType="begin"/>
      </w:r>
      <w:r>
        <w:instrText xml:space="preserve"> HYPERLINK "http://czt.gd.gov.cn/attachment/0/398/398091/3055876.docx" \t "http://czt.gd.gov.cn/tzgg/content/_blank" </w:instrText>
      </w:r>
      <w:r>
        <w:fldChar w:fldCharType="separate"/>
      </w:r>
      <w:r>
        <w:rPr>
          <w:rStyle w:val="10"/>
          <w:rFonts w:hint="eastAsia" w:asciiTheme="minorEastAsia" w:hAnsiTheme="minorEastAsia" w:cstheme="minorEastAsia"/>
          <w:color w:val="000000"/>
          <w:sz w:val="28"/>
          <w:szCs w:val="28"/>
          <w:u w:val="none"/>
          <w:shd w:val="clear" w:color="auto" w:fill="FFFFFF"/>
        </w:rPr>
        <w:t>3.政府采购进口产品明细表</w:t>
      </w:r>
      <w:r>
        <w:rPr>
          <w:rStyle w:val="10"/>
          <w:rFonts w:hint="eastAsia" w:asciiTheme="minorEastAsia" w:hAnsiTheme="minorEastAsia" w:cstheme="minorEastAsia"/>
          <w:color w:val="000000"/>
          <w:sz w:val="28"/>
          <w:szCs w:val="28"/>
          <w:u w:val="none"/>
          <w:shd w:val="clear" w:color="auto" w:fill="FFFFFF"/>
        </w:rPr>
        <w:fldChar w:fldCharType="end"/>
      </w:r>
    </w:p>
    <w:p>
      <w:pPr>
        <w:pStyle w:val="5"/>
        <w:widowControl/>
        <w:shd w:val="clear" w:color="auto" w:fill="FFFFFF"/>
        <w:spacing w:beforeAutospacing="0" w:after="150" w:afterAutospacing="0" w:line="360" w:lineRule="auto"/>
        <w:ind w:left="30" w:right="30"/>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　　　　　</w:t>
      </w:r>
      <w:r>
        <w:fldChar w:fldCharType="begin"/>
      </w:r>
      <w:r>
        <w:instrText xml:space="preserve"> HYPERLINK "http://czt.gd.gov.cn/attachment/0/398/398093/3055876.doc" \t "http://czt.gd.gov.cn/tzgg/content/_blank" </w:instrText>
      </w:r>
      <w:r>
        <w:fldChar w:fldCharType="separate"/>
      </w:r>
      <w:r>
        <w:rPr>
          <w:rStyle w:val="10"/>
          <w:rFonts w:hint="eastAsia" w:asciiTheme="minorEastAsia" w:hAnsiTheme="minorEastAsia" w:cstheme="minorEastAsia"/>
          <w:color w:val="000000"/>
          <w:sz w:val="28"/>
          <w:szCs w:val="28"/>
          <w:u w:val="none"/>
          <w:shd w:val="clear" w:color="auto" w:fill="FFFFFF"/>
        </w:rPr>
        <w:t>4.政府采购进口产品专家论证意见</w:t>
      </w:r>
      <w:r>
        <w:rPr>
          <w:rStyle w:val="10"/>
          <w:rFonts w:hint="eastAsia" w:asciiTheme="minorEastAsia" w:hAnsiTheme="minorEastAsia" w:cstheme="minorEastAsia"/>
          <w:color w:val="000000"/>
          <w:sz w:val="28"/>
          <w:szCs w:val="28"/>
          <w:u w:val="none"/>
          <w:shd w:val="clear" w:color="auto" w:fill="FFFFFF"/>
        </w:rPr>
        <w:fldChar w:fldCharType="end"/>
      </w: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rPr>
      </w:pPr>
      <w:r>
        <w:rPr>
          <w:rFonts w:hint="eastAsia" w:asciiTheme="minorEastAsia" w:hAnsiTheme="minorEastAsia" w:cstheme="minorEastAsia"/>
          <w:color w:val="000000"/>
          <w:sz w:val="28"/>
          <w:szCs w:val="28"/>
          <w:shd w:val="clear" w:color="auto" w:fill="FFFFFF"/>
        </w:rPr>
        <w:t>广东省财政厅  </w:t>
      </w: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r>
        <w:rPr>
          <w:rFonts w:hint="eastAsia" w:asciiTheme="minorEastAsia" w:hAnsiTheme="minorEastAsia" w:cstheme="minorEastAsia"/>
          <w:color w:val="000000"/>
          <w:sz w:val="28"/>
          <w:szCs w:val="28"/>
          <w:shd w:val="clear" w:color="auto" w:fill="FFFFFF"/>
        </w:rPr>
        <w:t>2020年7月29日</w:t>
      </w: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jc w:val="left"/>
        <w:rPr>
          <w:rFonts w:ascii="仿宋" w:hAnsi="仿宋" w:eastAsia="仿宋"/>
          <w:sz w:val="28"/>
          <w:szCs w:val="28"/>
        </w:rPr>
      </w:pPr>
      <w:r>
        <w:rPr>
          <w:rFonts w:hint="eastAsia" w:ascii="仿宋" w:hAnsi="仿宋" w:eastAsia="仿宋"/>
          <w:sz w:val="28"/>
          <w:szCs w:val="28"/>
        </w:rPr>
        <w:t>附件1:</w:t>
      </w:r>
    </w:p>
    <w:p>
      <w:pPr>
        <w:jc w:val="center"/>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单一来源采购项目预算金额专业人员论证意见</w:t>
      </w:r>
    </w:p>
    <w:p>
      <w:pPr>
        <w:jc w:val="center"/>
        <w:rPr>
          <w:rFonts w:ascii="楷体_GB2312" w:hAnsi="楷体_GB2312" w:eastAsia="楷体_GB2312" w:cs="楷体_GB2312"/>
          <w:sz w:val="28"/>
          <w:szCs w:val="28"/>
        </w:rPr>
      </w:pPr>
      <w:r>
        <w:rPr>
          <w:rFonts w:hint="eastAsia" w:ascii="楷体_GB2312" w:hAnsi="楷体_GB2312" w:eastAsia="楷体_GB2312" w:cs="楷体_GB2312"/>
          <w:sz w:val="28"/>
          <w:szCs w:val="28"/>
        </w:rPr>
        <w:t>（该论证意见无需公示）</w:t>
      </w:r>
    </w:p>
    <w:tbl>
      <w:tblPr>
        <w:tblStyle w:val="7"/>
        <w:tblW w:w="8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3287"/>
        <w:gridCol w:w="3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78" w:type="dxa"/>
            <w:vMerge w:val="restart"/>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专业人员信息</w:t>
            </w:r>
          </w:p>
        </w:tc>
        <w:tc>
          <w:tcPr>
            <w:tcW w:w="6518" w:type="dxa"/>
            <w:gridSpan w:val="2"/>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78" w:type="dxa"/>
            <w:vMerge w:val="continue"/>
            <w:vAlign w:val="center"/>
          </w:tcPr>
          <w:p>
            <w:pPr>
              <w:rPr>
                <w:rFonts w:ascii="仿宋_GB2312" w:hAnsi="仿宋_GB2312" w:eastAsia="仿宋_GB2312" w:cs="仿宋_GB2312"/>
                <w:kern w:val="0"/>
                <w:sz w:val="24"/>
              </w:rPr>
            </w:pPr>
          </w:p>
        </w:tc>
        <w:tc>
          <w:tcPr>
            <w:tcW w:w="6518" w:type="dxa"/>
            <w:gridSpan w:val="2"/>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78" w:type="dxa"/>
            <w:vMerge w:val="continue"/>
            <w:vAlign w:val="center"/>
          </w:tcPr>
          <w:p>
            <w:pPr>
              <w:rPr>
                <w:rFonts w:ascii="仿宋_GB2312" w:hAnsi="仿宋_GB2312" w:eastAsia="仿宋_GB2312" w:cs="仿宋_GB2312"/>
                <w:kern w:val="0"/>
                <w:sz w:val="24"/>
              </w:rPr>
            </w:pPr>
          </w:p>
        </w:tc>
        <w:tc>
          <w:tcPr>
            <w:tcW w:w="6518" w:type="dxa"/>
            <w:gridSpan w:val="2"/>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78" w:type="dxa"/>
            <w:vMerge w:val="restart"/>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项目信息</w:t>
            </w:r>
          </w:p>
        </w:tc>
        <w:tc>
          <w:tcPr>
            <w:tcW w:w="6518" w:type="dxa"/>
            <w:gridSpan w:val="2"/>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78" w:type="dxa"/>
            <w:vMerge w:val="continue"/>
            <w:vAlign w:val="center"/>
          </w:tcPr>
          <w:p>
            <w:pPr>
              <w:rPr>
                <w:rFonts w:ascii="仿宋_GB2312" w:hAnsi="仿宋_GB2312" w:eastAsia="仿宋_GB2312" w:cs="仿宋_GB2312"/>
                <w:kern w:val="0"/>
                <w:sz w:val="24"/>
              </w:rPr>
            </w:pPr>
          </w:p>
        </w:tc>
        <w:tc>
          <w:tcPr>
            <w:tcW w:w="6518" w:type="dxa"/>
            <w:gridSpan w:val="2"/>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78" w:type="dxa"/>
            <w:vMerge w:val="restart"/>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项目采购预算</w:t>
            </w:r>
          </w:p>
          <w:p>
            <w:pPr>
              <w:rPr>
                <w:rFonts w:ascii="仿宋_GB2312" w:hAnsi="仿宋_GB2312" w:eastAsia="仿宋_GB2312" w:cs="仿宋_GB2312"/>
                <w:kern w:val="0"/>
                <w:sz w:val="24"/>
              </w:rPr>
            </w:pPr>
          </w:p>
        </w:tc>
        <w:tc>
          <w:tcPr>
            <w:tcW w:w="6518" w:type="dxa"/>
            <w:gridSpan w:val="2"/>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项目预算金额（万元）：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78" w:type="dxa"/>
            <w:vMerge w:val="continue"/>
            <w:vAlign w:val="center"/>
          </w:tcPr>
          <w:p>
            <w:pPr>
              <w:rPr>
                <w:rFonts w:ascii="仿宋_GB2312" w:hAnsi="仿宋_GB2312" w:eastAsia="仿宋_GB2312" w:cs="仿宋_GB2312"/>
                <w:kern w:val="0"/>
                <w:sz w:val="24"/>
              </w:rPr>
            </w:pPr>
          </w:p>
        </w:tc>
        <w:tc>
          <w:tcPr>
            <w:tcW w:w="6518" w:type="dxa"/>
            <w:gridSpan w:val="2"/>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项目预算金额依据（可附有关材料）：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5" w:hRule="atLeast"/>
          <w:jc w:val="center"/>
        </w:trPr>
        <w:tc>
          <w:tcPr>
            <w:tcW w:w="1978" w:type="dxa"/>
            <w:vAlign w:val="center"/>
          </w:tcPr>
          <w:p>
            <w:pPr>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专业人员论证意见</w:t>
            </w:r>
          </w:p>
        </w:tc>
        <w:tc>
          <w:tcPr>
            <w:tcW w:w="6518" w:type="dxa"/>
            <w:gridSpan w:val="2"/>
          </w:tcPr>
          <w:p>
            <w:pPr>
              <w:rPr>
                <w:rFonts w:ascii="仿宋_GB2312" w:hAnsi="仿宋_GB2312" w:eastAsia="仿宋_GB2312" w:cs="仿宋_GB2312"/>
                <w:kern w:val="0"/>
                <w:sz w:val="24"/>
                <w:u w:val="single"/>
              </w:rPr>
            </w:pPr>
            <w:r>
              <w:rPr>
                <w:rFonts w:hint="eastAsia" w:ascii="仿宋_GB2312" w:hAnsi="仿宋_GB2312" w:eastAsia="仿宋_GB2312" w:cs="仿宋_GB2312"/>
                <w:kern w:val="0"/>
                <w:sz w:val="24"/>
                <w:u w:val="single"/>
              </w:rPr>
              <w:t>(</w:t>
            </w:r>
            <w:r>
              <w:rPr>
                <w:rFonts w:hint="eastAsia" w:ascii="仿宋_GB2312" w:hAnsi="仿宋_GB2312" w:eastAsia="仿宋_GB2312" w:cs="仿宋_GB2312"/>
                <w:i/>
                <w:iCs/>
                <w:kern w:val="0"/>
                <w:sz w:val="24"/>
                <w:u w:val="single"/>
              </w:rPr>
              <w:t>专业人员论证意见应当完整、清晰和明确的表达</w:t>
            </w:r>
            <w:r>
              <w:rPr>
                <w:rFonts w:hint="eastAsia" w:ascii="仿宋_GB2312" w:hAnsi="仿宋_GB2312" w:eastAsia="仿宋_GB2312" w:cs="仿宋_GB2312"/>
                <w:b/>
                <w:bCs/>
                <w:i/>
                <w:iCs/>
                <w:kern w:val="0"/>
                <w:sz w:val="24"/>
                <w:u w:val="single"/>
              </w:rPr>
              <w:t>采购项目预算安排是否科学合理</w:t>
            </w:r>
            <w:r>
              <w:rPr>
                <w:rFonts w:hint="eastAsia" w:ascii="仿宋_GB2312" w:hAnsi="仿宋_GB2312" w:eastAsia="仿宋_GB2312" w:cs="仿宋_GB2312"/>
                <w:i/>
                <w:iCs/>
                <w:kern w:val="0"/>
                <w:sz w:val="24"/>
                <w:u w:val="single"/>
              </w:rPr>
              <w:t>的意见</w:t>
            </w:r>
            <w:r>
              <w:rPr>
                <w:rFonts w:hint="eastAsia" w:ascii="仿宋_GB2312" w:hAnsi="仿宋_GB2312" w:eastAsia="仿宋_GB2312" w:cs="仿宋_GB2312"/>
                <w:kern w:val="0"/>
                <w:sz w:val="24"/>
                <w:u w:val="single"/>
              </w:rPr>
              <w:t>)</w:t>
            </w:r>
          </w:p>
          <w:p>
            <w:pPr>
              <w:rPr>
                <w:rFonts w:ascii="仿宋_GB2312" w:hAnsi="仿宋_GB2312" w:eastAsia="仿宋_GB2312" w:cs="仿宋_GB2312"/>
                <w:kern w:val="0"/>
                <w:sz w:val="24"/>
                <w:u w:val="single"/>
              </w:rPr>
            </w:pPr>
          </w:p>
          <w:p>
            <w:pPr>
              <w:rPr>
                <w:rFonts w:ascii="仿宋_GB2312" w:hAnsi="仿宋_GB2312" w:eastAsia="仿宋_GB2312" w:cs="仿宋_GB2312"/>
                <w:kern w:val="0"/>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78" w:type="dxa"/>
            <w:vAlign w:val="center"/>
          </w:tcPr>
          <w:p>
            <w:pPr>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专业人员签字</w:t>
            </w:r>
          </w:p>
        </w:tc>
        <w:tc>
          <w:tcPr>
            <w:tcW w:w="3287" w:type="dxa"/>
          </w:tcPr>
          <w:p>
            <w:pPr>
              <w:rPr>
                <w:rFonts w:ascii="仿宋_GB2312" w:hAnsi="仿宋_GB2312" w:eastAsia="仿宋_GB2312" w:cs="仿宋_GB2312"/>
                <w:kern w:val="0"/>
                <w:sz w:val="24"/>
              </w:rPr>
            </w:pPr>
          </w:p>
        </w:tc>
        <w:tc>
          <w:tcPr>
            <w:tcW w:w="3231" w:type="dxa"/>
            <w:vAlign w:val="bottom"/>
          </w:tcPr>
          <w:p>
            <w:pPr>
              <w:jc w:val="right"/>
              <w:rPr>
                <w:rFonts w:ascii="仿宋_GB2312" w:hAnsi="仿宋_GB2312" w:eastAsia="仿宋_GB2312" w:cs="仿宋_GB2312"/>
                <w:kern w:val="0"/>
                <w:sz w:val="24"/>
              </w:rPr>
            </w:pPr>
            <w:r>
              <w:rPr>
                <w:rFonts w:hint="eastAsia" w:ascii="仿宋_GB2312" w:hAnsi="仿宋_GB2312" w:eastAsia="仿宋_GB2312" w:cs="仿宋_GB2312"/>
                <w:kern w:val="0"/>
                <w:sz w:val="24"/>
              </w:rPr>
              <w:t>日期</w:t>
            </w:r>
            <w:r>
              <w:rPr>
                <w:rFonts w:hint="eastAsia" w:ascii="仿宋_GB2312" w:hAnsi="仿宋_GB2312" w:eastAsia="仿宋_GB2312" w:cs="仿宋_GB2312"/>
                <w:kern w:val="0"/>
                <w:sz w:val="24"/>
                <w:u w:val="single"/>
              </w:rPr>
              <w:t xml:space="preserve">   年   月  日</w:t>
            </w:r>
          </w:p>
        </w:tc>
      </w:tr>
    </w:tbl>
    <w:p>
      <w:pPr>
        <w:widowControl/>
        <w:jc w:val="left"/>
        <w:rPr>
          <w:rFonts w:ascii="仿宋" w:hAnsi="仿宋" w:eastAsia="仿宋"/>
          <w:sz w:val="28"/>
          <w:szCs w:val="28"/>
        </w:rPr>
      </w:pPr>
      <w:r>
        <w:rPr>
          <w:rFonts w:hint="eastAsia" w:ascii="仿宋" w:hAnsi="仿宋" w:eastAsia="仿宋"/>
          <w:sz w:val="28"/>
          <w:szCs w:val="28"/>
        </w:rPr>
        <w:t>注：本表格中专业人员论证意见由专业人员手工填写。</w:t>
      </w:r>
    </w:p>
    <w:p>
      <w:pPr>
        <w:jc w:val="left"/>
        <w:rPr>
          <w:rFonts w:ascii="仿宋" w:hAnsi="仿宋" w:eastAsia="仿宋"/>
          <w:sz w:val="28"/>
          <w:szCs w:val="28"/>
        </w:rPr>
      </w:pPr>
      <w:r>
        <w:rPr>
          <w:rFonts w:hint="eastAsia" w:ascii="仿宋" w:hAnsi="仿宋" w:eastAsia="仿宋"/>
          <w:sz w:val="28"/>
          <w:szCs w:val="28"/>
        </w:rPr>
        <w:t>附件1:</w:t>
      </w:r>
    </w:p>
    <w:p>
      <w:pPr>
        <w:jc w:val="center"/>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单一来源采购方式专业人员论证意见</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4"/>
        <w:gridCol w:w="2731"/>
        <w:gridCol w:w="3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4" w:type="dxa"/>
            <w:vMerge w:val="restart"/>
            <w:vAlign w:val="center"/>
          </w:tcPr>
          <w:p>
            <w:pPr>
              <w:rPr>
                <w:rFonts w:ascii="仿宋" w:hAnsi="仿宋" w:eastAsia="仿宋"/>
                <w:kern w:val="0"/>
                <w:sz w:val="28"/>
                <w:szCs w:val="28"/>
              </w:rPr>
            </w:pPr>
            <w:r>
              <w:rPr>
                <w:rFonts w:hint="eastAsia" w:ascii="仿宋" w:hAnsi="仿宋" w:eastAsia="仿宋"/>
                <w:kern w:val="0"/>
                <w:sz w:val="28"/>
                <w:szCs w:val="28"/>
              </w:rPr>
              <w:t>专业人员信息</w:t>
            </w:r>
          </w:p>
        </w:tc>
        <w:tc>
          <w:tcPr>
            <w:tcW w:w="5962" w:type="dxa"/>
            <w:gridSpan w:val="2"/>
          </w:tcPr>
          <w:p>
            <w:pPr>
              <w:rPr>
                <w:rFonts w:ascii="仿宋" w:hAnsi="仿宋" w:eastAsia="仿宋"/>
                <w:kern w:val="0"/>
                <w:sz w:val="28"/>
                <w:szCs w:val="28"/>
              </w:rPr>
            </w:pPr>
            <w:r>
              <w:rPr>
                <w:rFonts w:hint="eastAsia" w:ascii="仿宋" w:hAnsi="仿宋" w:eastAsia="仿宋"/>
                <w:kern w:val="0"/>
                <w:sz w:val="28"/>
                <w:szCs w:val="28"/>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534" w:type="dxa"/>
            <w:vMerge w:val="continue"/>
          </w:tcPr>
          <w:p>
            <w:pPr>
              <w:rPr>
                <w:rFonts w:ascii="仿宋" w:hAnsi="仿宋" w:eastAsia="仿宋"/>
                <w:kern w:val="0"/>
                <w:sz w:val="28"/>
                <w:szCs w:val="28"/>
              </w:rPr>
            </w:pPr>
          </w:p>
        </w:tc>
        <w:tc>
          <w:tcPr>
            <w:tcW w:w="5962" w:type="dxa"/>
            <w:gridSpan w:val="2"/>
          </w:tcPr>
          <w:p>
            <w:pPr>
              <w:rPr>
                <w:rFonts w:ascii="仿宋" w:hAnsi="仿宋" w:eastAsia="仿宋"/>
                <w:kern w:val="0"/>
                <w:sz w:val="28"/>
                <w:szCs w:val="28"/>
              </w:rPr>
            </w:pPr>
            <w:r>
              <w:rPr>
                <w:rFonts w:hint="eastAsia" w:ascii="仿宋" w:hAnsi="仿宋" w:eastAsia="仿宋"/>
                <w:kern w:val="0"/>
                <w:sz w:val="28"/>
                <w:szCs w:val="28"/>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534" w:type="dxa"/>
            <w:vMerge w:val="continue"/>
          </w:tcPr>
          <w:p>
            <w:pPr>
              <w:rPr>
                <w:rFonts w:ascii="仿宋" w:hAnsi="仿宋" w:eastAsia="仿宋"/>
                <w:kern w:val="0"/>
                <w:sz w:val="28"/>
                <w:szCs w:val="28"/>
              </w:rPr>
            </w:pPr>
          </w:p>
        </w:tc>
        <w:tc>
          <w:tcPr>
            <w:tcW w:w="5962" w:type="dxa"/>
            <w:gridSpan w:val="2"/>
          </w:tcPr>
          <w:p>
            <w:pPr>
              <w:rPr>
                <w:rFonts w:ascii="仿宋" w:hAnsi="仿宋" w:eastAsia="仿宋"/>
                <w:kern w:val="0"/>
                <w:sz w:val="28"/>
                <w:szCs w:val="28"/>
              </w:rPr>
            </w:pPr>
            <w:r>
              <w:rPr>
                <w:rFonts w:hint="eastAsia" w:ascii="仿宋" w:hAnsi="仿宋" w:eastAsia="仿宋"/>
                <w:kern w:val="0"/>
                <w:sz w:val="28"/>
                <w:szCs w:val="28"/>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4" w:type="dxa"/>
            <w:vMerge w:val="restart"/>
            <w:vAlign w:val="center"/>
          </w:tcPr>
          <w:p>
            <w:pPr>
              <w:rPr>
                <w:rFonts w:ascii="仿宋" w:hAnsi="仿宋" w:eastAsia="仿宋"/>
                <w:kern w:val="0"/>
                <w:sz w:val="28"/>
                <w:szCs w:val="28"/>
              </w:rPr>
            </w:pPr>
            <w:r>
              <w:rPr>
                <w:rFonts w:hint="eastAsia" w:ascii="仿宋" w:hAnsi="仿宋" w:eastAsia="仿宋"/>
                <w:kern w:val="0"/>
                <w:sz w:val="28"/>
                <w:szCs w:val="28"/>
              </w:rPr>
              <w:t>项目信息</w:t>
            </w:r>
          </w:p>
        </w:tc>
        <w:tc>
          <w:tcPr>
            <w:tcW w:w="5962" w:type="dxa"/>
            <w:gridSpan w:val="2"/>
          </w:tcPr>
          <w:p>
            <w:pPr>
              <w:rPr>
                <w:rFonts w:ascii="仿宋" w:hAnsi="仿宋" w:eastAsia="仿宋"/>
                <w:kern w:val="0"/>
                <w:sz w:val="28"/>
                <w:szCs w:val="28"/>
              </w:rPr>
            </w:pPr>
            <w:r>
              <w:rPr>
                <w:rFonts w:hint="eastAsia" w:ascii="仿宋" w:hAnsi="仿宋" w:eastAsia="仿宋"/>
                <w:kern w:val="0"/>
                <w:sz w:val="28"/>
                <w:szCs w:val="28"/>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4" w:type="dxa"/>
            <w:vMerge w:val="continue"/>
          </w:tcPr>
          <w:p>
            <w:pPr>
              <w:rPr>
                <w:rFonts w:ascii="仿宋" w:hAnsi="仿宋" w:eastAsia="仿宋"/>
                <w:kern w:val="0"/>
                <w:sz w:val="28"/>
                <w:szCs w:val="28"/>
              </w:rPr>
            </w:pPr>
          </w:p>
        </w:tc>
        <w:tc>
          <w:tcPr>
            <w:tcW w:w="5962" w:type="dxa"/>
            <w:gridSpan w:val="2"/>
          </w:tcPr>
          <w:p>
            <w:pPr>
              <w:rPr>
                <w:rFonts w:ascii="仿宋" w:hAnsi="仿宋" w:eastAsia="仿宋"/>
                <w:kern w:val="0"/>
                <w:sz w:val="28"/>
                <w:szCs w:val="28"/>
              </w:rPr>
            </w:pPr>
            <w:r>
              <w:rPr>
                <w:rFonts w:hint="eastAsia" w:ascii="仿宋" w:hAnsi="仿宋" w:eastAsia="仿宋"/>
                <w:kern w:val="0"/>
                <w:sz w:val="28"/>
                <w:szCs w:val="28"/>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4" w:hRule="atLeast"/>
          <w:jc w:val="center"/>
        </w:trPr>
        <w:tc>
          <w:tcPr>
            <w:tcW w:w="2534" w:type="dxa"/>
            <w:vAlign w:val="center"/>
          </w:tcPr>
          <w:p>
            <w:pPr>
              <w:rPr>
                <w:rFonts w:ascii="仿宋" w:hAnsi="仿宋" w:eastAsia="仿宋"/>
                <w:kern w:val="0"/>
                <w:sz w:val="28"/>
                <w:szCs w:val="28"/>
              </w:rPr>
            </w:pPr>
            <w:r>
              <w:rPr>
                <w:rFonts w:hint="eastAsia" w:ascii="仿宋" w:hAnsi="仿宋" w:eastAsia="仿宋"/>
                <w:kern w:val="0"/>
                <w:sz w:val="28"/>
                <w:szCs w:val="28"/>
              </w:rPr>
              <w:t>专业人员论证意见</w:t>
            </w:r>
          </w:p>
        </w:tc>
        <w:tc>
          <w:tcPr>
            <w:tcW w:w="5962" w:type="dxa"/>
            <w:gridSpan w:val="2"/>
          </w:tcPr>
          <w:p>
            <w:pPr>
              <w:rPr>
                <w:rFonts w:ascii="仿宋" w:hAnsi="仿宋" w:eastAsia="仿宋"/>
                <w:kern w:val="0"/>
                <w:sz w:val="28"/>
                <w:szCs w:val="28"/>
                <w:u w:val="single"/>
              </w:rPr>
            </w:pPr>
            <w:r>
              <w:rPr>
                <w:rFonts w:hint="eastAsia" w:ascii="仿宋" w:hAnsi="仿宋" w:eastAsia="仿宋"/>
                <w:kern w:val="0"/>
                <w:sz w:val="28"/>
                <w:szCs w:val="28"/>
                <w:u w:val="single"/>
              </w:rPr>
              <w:t>(</w:t>
            </w:r>
            <w:r>
              <w:rPr>
                <w:rFonts w:hint="eastAsia" w:ascii="仿宋" w:hAnsi="仿宋" w:eastAsia="仿宋" w:cs="宋体"/>
                <w:i/>
                <w:iCs/>
                <w:kern w:val="0"/>
                <w:sz w:val="29"/>
                <w:szCs w:val="29"/>
                <w:u w:val="single"/>
              </w:rPr>
              <w:t>专业人员论证意见应当完整、清晰和明确的表达从唯一供应商处采购的理由</w:t>
            </w:r>
            <w:r>
              <w:rPr>
                <w:rFonts w:hint="eastAsia" w:ascii="仿宋" w:hAnsi="仿宋" w:eastAsia="仿宋"/>
                <w:kern w:val="0"/>
                <w:sz w:val="28"/>
                <w:szCs w:val="28"/>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4" w:type="dxa"/>
          </w:tcPr>
          <w:p>
            <w:pPr>
              <w:rPr>
                <w:rFonts w:ascii="仿宋" w:hAnsi="仿宋" w:eastAsia="仿宋"/>
                <w:kern w:val="0"/>
                <w:sz w:val="28"/>
                <w:szCs w:val="28"/>
              </w:rPr>
            </w:pPr>
            <w:r>
              <w:rPr>
                <w:rFonts w:hint="eastAsia" w:ascii="仿宋" w:hAnsi="仿宋" w:eastAsia="仿宋"/>
                <w:kern w:val="0"/>
                <w:sz w:val="28"/>
                <w:szCs w:val="28"/>
              </w:rPr>
              <w:t>专业人员签字</w:t>
            </w:r>
          </w:p>
        </w:tc>
        <w:tc>
          <w:tcPr>
            <w:tcW w:w="2731" w:type="dxa"/>
          </w:tcPr>
          <w:p>
            <w:pPr>
              <w:rPr>
                <w:rFonts w:ascii="仿宋" w:hAnsi="仿宋" w:eastAsia="仿宋"/>
                <w:kern w:val="0"/>
                <w:sz w:val="28"/>
                <w:szCs w:val="28"/>
              </w:rPr>
            </w:pPr>
          </w:p>
        </w:tc>
        <w:tc>
          <w:tcPr>
            <w:tcW w:w="3231" w:type="dxa"/>
          </w:tcPr>
          <w:p>
            <w:pPr>
              <w:rPr>
                <w:rFonts w:ascii="仿宋" w:hAnsi="仿宋" w:eastAsia="仿宋"/>
                <w:kern w:val="0"/>
                <w:sz w:val="28"/>
                <w:szCs w:val="28"/>
              </w:rPr>
            </w:pPr>
            <w:r>
              <w:rPr>
                <w:rFonts w:hint="eastAsia" w:ascii="仿宋" w:hAnsi="仿宋" w:eastAsia="仿宋"/>
                <w:kern w:val="0"/>
                <w:sz w:val="28"/>
                <w:szCs w:val="28"/>
              </w:rPr>
              <w:t>日期</w:t>
            </w:r>
            <w:r>
              <w:rPr>
                <w:rFonts w:ascii="仿宋" w:hAnsi="仿宋" w:eastAsia="仿宋"/>
                <w:kern w:val="0"/>
                <w:sz w:val="28"/>
                <w:szCs w:val="28"/>
                <w:u w:val="single"/>
              </w:rPr>
              <w:t xml:space="preserve">   </w:t>
            </w:r>
            <w:r>
              <w:rPr>
                <w:rFonts w:hint="eastAsia" w:ascii="仿宋" w:hAnsi="仿宋" w:eastAsia="仿宋"/>
                <w:kern w:val="0"/>
                <w:sz w:val="28"/>
                <w:szCs w:val="28"/>
                <w:u w:val="single"/>
              </w:rPr>
              <w:t>年   月  日</w:t>
            </w:r>
          </w:p>
        </w:tc>
      </w:tr>
    </w:tbl>
    <w:p>
      <w:pPr>
        <w:widowControl/>
        <w:jc w:val="left"/>
        <w:rPr>
          <w:rFonts w:ascii="仿宋" w:hAnsi="仿宋" w:eastAsia="仿宋"/>
          <w:sz w:val="28"/>
          <w:szCs w:val="28"/>
        </w:rPr>
      </w:pPr>
      <w:r>
        <w:rPr>
          <w:rFonts w:hint="eastAsia" w:ascii="仿宋" w:hAnsi="仿宋" w:eastAsia="仿宋"/>
          <w:sz w:val="28"/>
          <w:szCs w:val="28"/>
        </w:rPr>
        <w:t>注：本表格中专业人员论证意见由专业人员手工填写。</w:t>
      </w: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adjustRightInd w:val="0"/>
        <w:snapToGrid w:val="0"/>
        <w:spacing w:line="48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附件3：</w:t>
      </w:r>
    </w:p>
    <w:p>
      <w:pPr>
        <w:adjustRightInd w:val="0"/>
        <w:snapToGrid w:val="0"/>
        <w:spacing w:line="480" w:lineRule="auto"/>
        <w:ind w:firstLine="2520" w:firstLineChars="900"/>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政府采购进口产品明细表</w:t>
      </w:r>
    </w:p>
    <w:p>
      <w:pPr>
        <w:adjustRightInd w:val="0"/>
        <w:snapToGrid w:val="0"/>
        <w:spacing w:line="480" w:lineRule="auto"/>
        <w:ind w:firstLine="720" w:firstLineChars="300"/>
        <w:rPr>
          <w:rFonts w:ascii="仿宋_GB2312" w:hAnsi="仿宋_GB2312" w:eastAsia="仿宋_GB2312" w:cs="仿宋_GB2312"/>
          <w:sz w:val="24"/>
        </w:rPr>
      </w:pPr>
      <w:r>
        <w:rPr>
          <w:rFonts w:hint="eastAsia" w:ascii="仿宋_GB2312" w:hAnsi="仿宋_GB2312" w:eastAsia="仿宋_GB2312" w:cs="仿宋_GB2312"/>
          <w:sz w:val="24"/>
        </w:rPr>
        <w:t>采购单位名称：                       联系人及电话：</w:t>
      </w:r>
    </w:p>
    <w:tbl>
      <w:tblPr>
        <w:tblStyle w:val="7"/>
        <w:tblW w:w="8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799"/>
        <w:gridCol w:w="940"/>
        <w:gridCol w:w="799"/>
        <w:gridCol w:w="969"/>
        <w:gridCol w:w="969"/>
        <w:gridCol w:w="1249"/>
        <w:gridCol w:w="1253"/>
        <w:gridCol w:w="742"/>
        <w:gridCol w:w="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8" w:hRule="atLeast"/>
          <w:jc w:val="center"/>
        </w:trPr>
        <w:tc>
          <w:tcPr>
            <w:tcW w:w="515" w:type="dxa"/>
            <w:vAlign w:val="center"/>
          </w:tcPr>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序号</w:t>
            </w:r>
          </w:p>
        </w:tc>
        <w:tc>
          <w:tcPr>
            <w:tcW w:w="799" w:type="dxa"/>
            <w:vAlign w:val="center"/>
          </w:tcPr>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拟采购产品名称</w:t>
            </w:r>
          </w:p>
        </w:tc>
        <w:tc>
          <w:tcPr>
            <w:tcW w:w="940" w:type="dxa"/>
            <w:vAlign w:val="center"/>
          </w:tcPr>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产品预算（元）</w:t>
            </w:r>
          </w:p>
        </w:tc>
        <w:tc>
          <w:tcPr>
            <w:tcW w:w="799" w:type="dxa"/>
            <w:vAlign w:val="center"/>
          </w:tcPr>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是否存在国产产</w:t>
            </w:r>
          </w:p>
        </w:tc>
        <w:tc>
          <w:tcPr>
            <w:tcW w:w="969" w:type="dxa"/>
            <w:vAlign w:val="center"/>
          </w:tcPr>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国产产品和进口产品的区别</w:t>
            </w:r>
          </w:p>
        </w:tc>
        <w:tc>
          <w:tcPr>
            <w:tcW w:w="969" w:type="dxa"/>
            <w:vAlign w:val="center"/>
          </w:tcPr>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采购进口产品的必要性</w:t>
            </w:r>
          </w:p>
        </w:tc>
        <w:tc>
          <w:tcPr>
            <w:tcW w:w="1249" w:type="dxa"/>
            <w:vAlign w:val="center"/>
          </w:tcPr>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采购进口产品不可替代性</w:t>
            </w:r>
          </w:p>
        </w:tc>
        <w:tc>
          <w:tcPr>
            <w:tcW w:w="1253" w:type="dxa"/>
            <w:vAlign w:val="center"/>
          </w:tcPr>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采购国产产品对工作的实质性影响</w:t>
            </w:r>
          </w:p>
        </w:tc>
        <w:tc>
          <w:tcPr>
            <w:tcW w:w="742" w:type="dxa"/>
            <w:vAlign w:val="center"/>
          </w:tcPr>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采购资金来源</w:t>
            </w:r>
          </w:p>
        </w:tc>
        <w:tc>
          <w:tcPr>
            <w:tcW w:w="510" w:type="dxa"/>
            <w:vAlign w:val="center"/>
          </w:tcPr>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dxa"/>
            <w:vAlign w:val="center"/>
          </w:tcPr>
          <w:p>
            <w:pPr>
              <w:adjustRightInd w:val="0"/>
              <w:snapToGrid w:val="0"/>
              <w:spacing w:line="360" w:lineRule="auto"/>
              <w:rPr>
                <w:rFonts w:ascii="仿宋_GB2312" w:hAnsi="仿宋_GB2312" w:eastAsia="仿宋_GB2312" w:cs="仿宋_GB2312"/>
                <w:sz w:val="24"/>
              </w:rPr>
            </w:pPr>
          </w:p>
        </w:tc>
        <w:tc>
          <w:tcPr>
            <w:tcW w:w="799" w:type="dxa"/>
            <w:vAlign w:val="center"/>
          </w:tcPr>
          <w:p>
            <w:pPr>
              <w:adjustRightInd w:val="0"/>
              <w:snapToGrid w:val="0"/>
              <w:spacing w:line="360" w:lineRule="auto"/>
              <w:rPr>
                <w:rFonts w:ascii="仿宋_GB2312" w:hAnsi="仿宋_GB2312" w:eastAsia="仿宋_GB2312" w:cs="仿宋_GB2312"/>
                <w:sz w:val="24"/>
              </w:rPr>
            </w:pPr>
          </w:p>
        </w:tc>
        <w:tc>
          <w:tcPr>
            <w:tcW w:w="940" w:type="dxa"/>
            <w:vAlign w:val="center"/>
          </w:tcPr>
          <w:p>
            <w:pPr>
              <w:adjustRightInd w:val="0"/>
              <w:snapToGrid w:val="0"/>
              <w:spacing w:line="360" w:lineRule="auto"/>
              <w:rPr>
                <w:rFonts w:ascii="仿宋_GB2312" w:hAnsi="仿宋_GB2312" w:eastAsia="仿宋_GB2312" w:cs="仿宋_GB2312"/>
                <w:sz w:val="24"/>
              </w:rPr>
            </w:pPr>
          </w:p>
        </w:tc>
        <w:tc>
          <w:tcPr>
            <w:tcW w:w="799" w:type="dxa"/>
            <w:vAlign w:val="center"/>
          </w:tcPr>
          <w:p>
            <w:pPr>
              <w:adjustRightInd w:val="0"/>
              <w:snapToGrid w:val="0"/>
              <w:spacing w:line="360" w:lineRule="auto"/>
              <w:rPr>
                <w:rFonts w:ascii="仿宋_GB2312" w:hAnsi="仿宋_GB2312" w:eastAsia="仿宋_GB2312" w:cs="仿宋_GB2312"/>
                <w:sz w:val="24"/>
              </w:rPr>
            </w:pPr>
          </w:p>
        </w:tc>
        <w:tc>
          <w:tcPr>
            <w:tcW w:w="969" w:type="dxa"/>
            <w:vAlign w:val="center"/>
          </w:tcPr>
          <w:p>
            <w:pPr>
              <w:adjustRightInd w:val="0"/>
              <w:snapToGrid w:val="0"/>
              <w:spacing w:line="360" w:lineRule="auto"/>
              <w:rPr>
                <w:rFonts w:ascii="仿宋_GB2312" w:hAnsi="仿宋_GB2312" w:eastAsia="仿宋_GB2312" w:cs="仿宋_GB2312"/>
                <w:sz w:val="24"/>
              </w:rPr>
            </w:pPr>
          </w:p>
        </w:tc>
        <w:tc>
          <w:tcPr>
            <w:tcW w:w="969" w:type="dxa"/>
            <w:vAlign w:val="center"/>
          </w:tcPr>
          <w:p>
            <w:pPr>
              <w:adjustRightInd w:val="0"/>
              <w:snapToGrid w:val="0"/>
              <w:spacing w:line="360" w:lineRule="auto"/>
              <w:rPr>
                <w:rFonts w:ascii="仿宋_GB2312" w:hAnsi="仿宋_GB2312" w:eastAsia="仿宋_GB2312" w:cs="仿宋_GB2312"/>
                <w:sz w:val="24"/>
              </w:rPr>
            </w:pPr>
          </w:p>
        </w:tc>
        <w:tc>
          <w:tcPr>
            <w:tcW w:w="1249" w:type="dxa"/>
            <w:vAlign w:val="center"/>
          </w:tcPr>
          <w:p>
            <w:pPr>
              <w:adjustRightInd w:val="0"/>
              <w:snapToGrid w:val="0"/>
              <w:spacing w:line="360" w:lineRule="auto"/>
              <w:rPr>
                <w:rFonts w:ascii="仿宋_GB2312" w:hAnsi="仿宋_GB2312" w:eastAsia="仿宋_GB2312" w:cs="仿宋_GB2312"/>
                <w:sz w:val="24"/>
              </w:rPr>
            </w:pPr>
          </w:p>
        </w:tc>
        <w:tc>
          <w:tcPr>
            <w:tcW w:w="1253" w:type="dxa"/>
            <w:vAlign w:val="center"/>
          </w:tcPr>
          <w:p>
            <w:pPr>
              <w:adjustRightInd w:val="0"/>
              <w:snapToGrid w:val="0"/>
              <w:spacing w:line="360" w:lineRule="auto"/>
              <w:rPr>
                <w:rFonts w:ascii="仿宋_GB2312" w:hAnsi="仿宋_GB2312" w:eastAsia="仿宋_GB2312" w:cs="仿宋_GB2312"/>
                <w:sz w:val="24"/>
              </w:rPr>
            </w:pPr>
          </w:p>
        </w:tc>
        <w:tc>
          <w:tcPr>
            <w:tcW w:w="742" w:type="dxa"/>
            <w:vAlign w:val="center"/>
          </w:tcPr>
          <w:p>
            <w:pPr>
              <w:adjustRightInd w:val="0"/>
              <w:snapToGrid w:val="0"/>
              <w:spacing w:line="360" w:lineRule="auto"/>
              <w:rPr>
                <w:rFonts w:ascii="仿宋_GB2312" w:hAnsi="仿宋_GB2312" w:eastAsia="仿宋_GB2312" w:cs="仿宋_GB2312"/>
                <w:sz w:val="24"/>
              </w:rPr>
            </w:pPr>
          </w:p>
        </w:tc>
        <w:tc>
          <w:tcPr>
            <w:tcW w:w="510" w:type="dxa"/>
            <w:vAlign w:val="center"/>
          </w:tcPr>
          <w:p>
            <w:pPr>
              <w:adjustRightInd w:val="0"/>
              <w:snapToGrid w:val="0"/>
              <w:spacing w:line="360" w:lineRule="auto"/>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5" w:type="dxa"/>
            <w:vAlign w:val="center"/>
          </w:tcPr>
          <w:p>
            <w:pPr>
              <w:adjustRightInd w:val="0"/>
              <w:snapToGrid w:val="0"/>
              <w:spacing w:line="360" w:lineRule="auto"/>
              <w:rPr>
                <w:rFonts w:ascii="仿宋_GB2312" w:hAnsi="仿宋_GB2312" w:eastAsia="仿宋_GB2312" w:cs="仿宋_GB2312"/>
                <w:sz w:val="24"/>
              </w:rPr>
            </w:pPr>
          </w:p>
        </w:tc>
        <w:tc>
          <w:tcPr>
            <w:tcW w:w="799" w:type="dxa"/>
            <w:vAlign w:val="center"/>
          </w:tcPr>
          <w:p>
            <w:pPr>
              <w:adjustRightInd w:val="0"/>
              <w:snapToGrid w:val="0"/>
              <w:spacing w:line="360" w:lineRule="auto"/>
              <w:rPr>
                <w:rFonts w:ascii="仿宋_GB2312" w:hAnsi="仿宋_GB2312" w:eastAsia="仿宋_GB2312" w:cs="仿宋_GB2312"/>
                <w:sz w:val="24"/>
              </w:rPr>
            </w:pPr>
          </w:p>
        </w:tc>
        <w:tc>
          <w:tcPr>
            <w:tcW w:w="940" w:type="dxa"/>
            <w:vAlign w:val="center"/>
          </w:tcPr>
          <w:p>
            <w:pPr>
              <w:adjustRightInd w:val="0"/>
              <w:snapToGrid w:val="0"/>
              <w:spacing w:line="360" w:lineRule="auto"/>
              <w:rPr>
                <w:rFonts w:ascii="仿宋_GB2312" w:hAnsi="仿宋_GB2312" w:eastAsia="仿宋_GB2312" w:cs="仿宋_GB2312"/>
                <w:sz w:val="24"/>
              </w:rPr>
            </w:pPr>
          </w:p>
        </w:tc>
        <w:tc>
          <w:tcPr>
            <w:tcW w:w="799" w:type="dxa"/>
            <w:vAlign w:val="center"/>
          </w:tcPr>
          <w:p>
            <w:pPr>
              <w:adjustRightInd w:val="0"/>
              <w:snapToGrid w:val="0"/>
              <w:spacing w:line="360" w:lineRule="auto"/>
              <w:rPr>
                <w:rFonts w:ascii="仿宋_GB2312" w:hAnsi="仿宋_GB2312" w:eastAsia="仿宋_GB2312" w:cs="仿宋_GB2312"/>
                <w:sz w:val="24"/>
              </w:rPr>
            </w:pPr>
          </w:p>
        </w:tc>
        <w:tc>
          <w:tcPr>
            <w:tcW w:w="969" w:type="dxa"/>
            <w:vAlign w:val="center"/>
          </w:tcPr>
          <w:p>
            <w:pPr>
              <w:adjustRightInd w:val="0"/>
              <w:snapToGrid w:val="0"/>
              <w:spacing w:line="360" w:lineRule="auto"/>
              <w:rPr>
                <w:rFonts w:ascii="仿宋_GB2312" w:hAnsi="仿宋_GB2312" w:eastAsia="仿宋_GB2312" w:cs="仿宋_GB2312"/>
                <w:sz w:val="24"/>
              </w:rPr>
            </w:pPr>
          </w:p>
        </w:tc>
        <w:tc>
          <w:tcPr>
            <w:tcW w:w="969" w:type="dxa"/>
            <w:vAlign w:val="center"/>
          </w:tcPr>
          <w:p>
            <w:pPr>
              <w:adjustRightInd w:val="0"/>
              <w:snapToGrid w:val="0"/>
              <w:spacing w:line="360" w:lineRule="auto"/>
              <w:rPr>
                <w:rFonts w:ascii="仿宋_GB2312" w:hAnsi="仿宋_GB2312" w:eastAsia="仿宋_GB2312" w:cs="仿宋_GB2312"/>
                <w:sz w:val="24"/>
              </w:rPr>
            </w:pPr>
          </w:p>
        </w:tc>
        <w:tc>
          <w:tcPr>
            <w:tcW w:w="1249" w:type="dxa"/>
            <w:vAlign w:val="center"/>
          </w:tcPr>
          <w:p>
            <w:pPr>
              <w:adjustRightInd w:val="0"/>
              <w:snapToGrid w:val="0"/>
              <w:spacing w:line="360" w:lineRule="auto"/>
              <w:rPr>
                <w:rFonts w:ascii="仿宋_GB2312" w:hAnsi="仿宋_GB2312" w:eastAsia="仿宋_GB2312" w:cs="仿宋_GB2312"/>
                <w:sz w:val="24"/>
              </w:rPr>
            </w:pPr>
          </w:p>
        </w:tc>
        <w:tc>
          <w:tcPr>
            <w:tcW w:w="1253" w:type="dxa"/>
            <w:vAlign w:val="center"/>
          </w:tcPr>
          <w:p>
            <w:pPr>
              <w:adjustRightInd w:val="0"/>
              <w:snapToGrid w:val="0"/>
              <w:spacing w:line="360" w:lineRule="auto"/>
              <w:rPr>
                <w:rFonts w:ascii="仿宋_GB2312" w:hAnsi="仿宋_GB2312" w:eastAsia="仿宋_GB2312" w:cs="仿宋_GB2312"/>
                <w:sz w:val="24"/>
              </w:rPr>
            </w:pPr>
          </w:p>
        </w:tc>
        <w:tc>
          <w:tcPr>
            <w:tcW w:w="742" w:type="dxa"/>
            <w:vAlign w:val="center"/>
          </w:tcPr>
          <w:p>
            <w:pPr>
              <w:adjustRightInd w:val="0"/>
              <w:snapToGrid w:val="0"/>
              <w:spacing w:line="360" w:lineRule="auto"/>
              <w:rPr>
                <w:rFonts w:ascii="仿宋_GB2312" w:hAnsi="仿宋_GB2312" w:eastAsia="仿宋_GB2312" w:cs="仿宋_GB2312"/>
                <w:sz w:val="24"/>
              </w:rPr>
            </w:pPr>
          </w:p>
        </w:tc>
        <w:tc>
          <w:tcPr>
            <w:tcW w:w="510" w:type="dxa"/>
            <w:vAlign w:val="center"/>
          </w:tcPr>
          <w:p>
            <w:pPr>
              <w:adjustRightInd w:val="0"/>
              <w:snapToGrid w:val="0"/>
              <w:spacing w:line="360" w:lineRule="auto"/>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5" w:type="dxa"/>
            <w:vAlign w:val="center"/>
          </w:tcPr>
          <w:p>
            <w:pPr>
              <w:adjustRightInd w:val="0"/>
              <w:snapToGrid w:val="0"/>
              <w:spacing w:line="360" w:lineRule="auto"/>
              <w:rPr>
                <w:rFonts w:ascii="仿宋_GB2312" w:hAnsi="仿宋_GB2312" w:eastAsia="仿宋_GB2312" w:cs="仿宋_GB2312"/>
                <w:sz w:val="24"/>
              </w:rPr>
            </w:pPr>
          </w:p>
        </w:tc>
        <w:tc>
          <w:tcPr>
            <w:tcW w:w="799" w:type="dxa"/>
            <w:vAlign w:val="center"/>
          </w:tcPr>
          <w:p>
            <w:pPr>
              <w:adjustRightInd w:val="0"/>
              <w:snapToGrid w:val="0"/>
              <w:spacing w:line="360" w:lineRule="auto"/>
              <w:rPr>
                <w:rFonts w:ascii="仿宋_GB2312" w:hAnsi="仿宋_GB2312" w:eastAsia="仿宋_GB2312" w:cs="仿宋_GB2312"/>
                <w:sz w:val="24"/>
              </w:rPr>
            </w:pPr>
          </w:p>
        </w:tc>
        <w:tc>
          <w:tcPr>
            <w:tcW w:w="940" w:type="dxa"/>
            <w:vAlign w:val="center"/>
          </w:tcPr>
          <w:p>
            <w:pPr>
              <w:adjustRightInd w:val="0"/>
              <w:snapToGrid w:val="0"/>
              <w:spacing w:line="360" w:lineRule="auto"/>
              <w:rPr>
                <w:rFonts w:ascii="仿宋_GB2312" w:hAnsi="仿宋_GB2312" w:eastAsia="仿宋_GB2312" w:cs="仿宋_GB2312"/>
                <w:sz w:val="24"/>
              </w:rPr>
            </w:pPr>
          </w:p>
        </w:tc>
        <w:tc>
          <w:tcPr>
            <w:tcW w:w="799" w:type="dxa"/>
            <w:vAlign w:val="center"/>
          </w:tcPr>
          <w:p>
            <w:pPr>
              <w:adjustRightInd w:val="0"/>
              <w:snapToGrid w:val="0"/>
              <w:spacing w:line="360" w:lineRule="auto"/>
              <w:rPr>
                <w:rFonts w:ascii="仿宋_GB2312" w:hAnsi="仿宋_GB2312" w:eastAsia="仿宋_GB2312" w:cs="仿宋_GB2312"/>
                <w:sz w:val="24"/>
              </w:rPr>
            </w:pPr>
          </w:p>
        </w:tc>
        <w:tc>
          <w:tcPr>
            <w:tcW w:w="969" w:type="dxa"/>
            <w:vAlign w:val="center"/>
          </w:tcPr>
          <w:p>
            <w:pPr>
              <w:adjustRightInd w:val="0"/>
              <w:snapToGrid w:val="0"/>
              <w:spacing w:line="360" w:lineRule="auto"/>
              <w:rPr>
                <w:rFonts w:ascii="仿宋_GB2312" w:hAnsi="仿宋_GB2312" w:eastAsia="仿宋_GB2312" w:cs="仿宋_GB2312"/>
                <w:sz w:val="24"/>
              </w:rPr>
            </w:pPr>
          </w:p>
        </w:tc>
        <w:tc>
          <w:tcPr>
            <w:tcW w:w="969" w:type="dxa"/>
            <w:vAlign w:val="center"/>
          </w:tcPr>
          <w:p>
            <w:pPr>
              <w:adjustRightInd w:val="0"/>
              <w:snapToGrid w:val="0"/>
              <w:spacing w:line="360" w:lineRule="auto"/>
              <w:rPr>
                <w:rFonts w:ascii="仿宋_GB2312" w:hAnsi="仿宋_GB2312" w:eastAsia="仿宋_GB2312" w:cs="仿宋_GB2312"/>
                <w:sz w:val="24"/>
              </w:rPr>
            </w:pPr>
          </w:p>
        </w:tc>
        <w:tc>
          <w:tcPr>
            <w:tcW w:w="1249" w:type="dxa"/>
            <w:vAlign w:val="center"/>
          </w:tcPr>
          <w:p>
            <w:pPr>
              <w:adjustRightInd w:val="0"/>
              <w:snapToGrid w:val="0"/>
              <w:spacing w:line="360" w:lineRule="auto"/>
              <w:rPr>
                <w:rFonts w:ascii="仿宋_GB2312" w:hAnsi="仿宋_GB2312" w:eastAsia="仿宋_GB2312" w:cs="仿宋_GB2312"/>
                <w:sz w:val="24"/>
              </w:rPr>
            </w:pPr>
          </w:p>
        </w:tc>
        <w:tc>
          <w:tcPr>
            <w:tcW w:w="1253" w:type="dxa"/>
            <w:vAlign w:val="center"/>
          </w:tcPr>
          <w:p>
            <w:pPr>
              <w:adjustRightInd w:val="0"/>
              <w:snapToGrid w:val="0"/>
              <w:spacing w:line="360" w:lineRule="auto"/>
              <w:rPr>
                <w:rFonts w:ascii="仿宋_GB2312" w:hAnsi="仿宋_GB2312" w:eastAsia="仿宋_GB2312" w:cs="仿宋_GB2312"/>
                <w:sz w:val="24"/>
              </w:rPr>
            </w:pPr>
          </w:p>
        </w:tc>
        <w:tc>
          <w:tcPr>
            <w:tcW w:w="742" w:type="dxa"/>
            <w:vAlign w:val="center"/>
          </w:tcPr>
          <w:p>
            <w:pPr>
              <w:adjustRightInd w:val="0"/>
              <w:snapToGrid w:val="0"/>
              <w:spacing w:line="360" w:lineRule="auto"/>
              <w:rPr>
                <w:rFonts w:ascii="仿宋_GB2312" w:hAnsi="仿宋_GB2312" w:eastAsia="仿宋_GB2312" w:cs="仿宋_GB2312"/>
                <w:sz w:val="24"/>
              </w:rPr>
            </w:pPr>
          </w:p>
        </w:tc>
        <w:tc>
          <w:tcPr>
            <w:tcW w:w="510" w:type="dxa"/>
            <w:vAlign w:val="center"/>
          </w:tcPr>
          <w:p>
            <w:pPr>
              <w:adjustRightInd w:val="0"/>
              <w:snapToGrid w:val="0"/>
              <w:spacing w:line="360" w:lineRule="auto"/>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4" w:type="dxa"/>
            <w:gridSpan w:val="2"/>
            <w:vAlign w:val="center"/>
          </w:tcPr>
          <w:p>
            <w:pPr>
              <w:adjustRightInd w:val="0"/>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采购总预算（元）</w:t>
            </w:r>
          </w:p>
        </w:tc>
        <w:tc>
          <w:tcPr>
            <w:tcW w:w="7431" w:type="dxa"/>
            <w:gridSpan w:val="8"/>
            <w:vAlign w:val="center"/>
          </w:tcPr>
          <w:p>
            <w:pPr>
              <w:adjustRightInd w:val="0"/>
              <w:snapToGrid w:val="0"/>
              <w:spacing w:line="360" w:lineRule="auto"/>
              <w:jc w:val="center"/>
              <w:rPr>
                <w:rFonts w:ascii="仿宋_GB2312" w:hAnsi="仿宋_GB2312" w:eastAsia="仿宋_GB2312" w:cs="仿宋_GB2312"/>
                <w:sz w:val="24"/>
              </w:rPr>
            </w:pPr>
          </w:p>
        </w:tc>
      </w:tr>
    </w:tbl>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spacing w:line="48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附件2：</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2160"/>
        <w:gridCol w:w="2388"/>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8522" w:type="dxa"/>
            <w:gridSpan w:val="4"/>
            <w:tcBorders>
              <w:top w:val="nil"/>
              <w:left w:val="nil"/>
              <w:right w:val="nil"/>
            </w:tcBorders>
          </w:tcPr>
          <w:p>
            <w:pPr>
              <w:spacing w:line="480" w:lineRule="auto"/>
              <w:jc w:val="center"/>
            </w:pPr>
            <w:r>
              <w:rPr>
                <w:rFonts w:hint="eastAsia" w:ascii="方正小标宋简体" w:hAnsi="方正小标宋简体" w:eastAsia="方正小标宋简体" w:cs="方正小标宋简体"/>
                <w:sz w:val="28"/>
                <w:szCs w:val="28"/>
              </w:rPr>
              <w:t>政府采购进口产品专家论证意见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208" w:type="dxa"/>
            <w:vMerge w:val="restart"/>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专家信息</w:t>
            </w:r>
          </w:p>
        </w:tc>
        <w:tc>
          <w:tcPr>
            <w:tcW w:w="6314" w:type="dxa"/>
            <w:gridSpan w:val="3"/>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208" w:type="dxa"/>
            <w:vMerge w:val="continue"/>
            <w:vAlign w:val="center"/>
          </w:tcPr>
          <w:p>
            <w:pPr>
              <w:spacing w:line="480" w:lineRule="auto"/>
              <w:rPr>
                <w:rFonts w:ascii="仿宋_GB2312" w:hAnsi="仿宋_GB2312" w:eastAsia="仿宋_GB2312" w:cs="仿宋_GB2312"/>
                <w:sz w:val="24"/>
              </w:rPr>
            </w:pPr>
          </w:p>
        </w:tc>
        <w:tc>
          <w:tcPr>
            <w:tcW w:w="6314" w:type="dxa"/>
            <w:gridSpan w:val="3"/>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trPr>
        <w:tc>
          <w:tcPr>
            <w:tcW w:w="2208" w:type="dxa"/>
            <w:vMerge w:val="continue"/>
            <w:vAlign w:val="center"/>
          </w:tcPr>
          <w:p>
            <w:pPr>
              <w:spacing w:line="480" w:lineRule="auto"/>
              <w:rPr>
                <w:rFonts w:ascii="仿宋_GB2312" w:hAnsi="仿宋_GB2312" w:eastAsia="仿宋_GB2312" w:cs="仿宋_GB2312"/>
                <w:sz w:val="24"/>
              </w:rPr>
            </w:pPr>
          </w:p>
        </w:tc>
        <w:tc>
          <w:tcPr>
            <w:tcW w:w="6314" w:type="dxa"/>
            <w:gridSpan w:val="3"/>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8522" w:type="dxa"/>
            <w:gridSpan w:val="4"/>
            <w:vAlign w:val="center"/>
          </w:tcPr>
          <w:p>
            <w:pPr>
              <w:spacing w:line="480" w:lineRule="auto"/>
              <w:rPr>
                <w:rFonts w:ascii="仿宋_GB2312" w:hAnsi="仿宋_GB2312" w:eastAsia="仿宋_GB2312" w:cs="仿宋_GB2312"/>
                <w:sz w:val="24"/>
              </w:rPr>
            </w:pPr>
            <w:r>
              <w:rPr>
                <w:rFonts w:hint="eastAsia" w:ascii="仿宋_GB2312" w:hAnsi="仿宋_GB2312" w:eastAsia="仿宋_GB2312" w:cs="仿宋_GB2312"/>
                <w:sz w:val="24"/>
              </w:rPr>
              <w:t>一、基本情况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208"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申请单位</w:t>
            </w:r>
          </w:p>
        </w:tc>
        <w:tc>
          <w:tcPr>
            <w:tcW w:w="6314" w:type="dxa"/>
            <w:gridSpan w:val="3"/>
            <w:vAlign w:val="center"/>
          </w:tcPr>
          <w:p>
            <w:pP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208"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拟采购产品名称</w:t>
            </w:r>
          </w:p>
        </w:tc>
        <w:tc>
          <w:tcPr>
            <w:tcW w:w="2160" w:type="dxa"/>
            <w:vAlign w:val="center"/>
          </w:tcPr>
          <w:p>
            <w:pPr>
              <w:rPr>
                <w:rFonts w:ascii="仿宋_GB2312" w:hAnsi="仿宋_GB2312" w:eastAsia="仿宋_GB2312" w:cs="仿宋_GB2312"/>
                <w:sz w:val="24"/>
              </w:rPr>
            </w:pPr>
          </w:p>
        </w:tc>
        <w:tc>
          <w:tcPr>
            <w:tcW w:w="238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拟采购产品金额（万元）</w:t>
            </w:r>
          </w:p>
        </w:tc>
        <w:tc>
          <w:tcPr>
            <w:tcW w:w="1766" w:type="dxa"/>
            <w:vAlign w:val="center"/>
          </w:tcPr>
          <w:p>
            <w:pPr>
              <w:tabs>
                <w:tab w:val="left" w:pos="240"/>
              </w:tabs>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208"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所属采购项目名称</w:t>
            </w:r>
          </w:p>
        </w:tc>
        <w:tc>
          <w:tcPr>
            <w:tcW w:w="2160" w:type="dxa"/>
            <w:vAlign w:val="center"/>
          </w:tcPr>
          <w:p>
            <w:pPr>
              <w:rPr>
                <w:rFonts w:ascii="仿宋_GB2312" w:hAnsi="仿宋_GB2312" w:eastAsia="仿宋_GB2312" w:cs="仿宋_GB2312"/>
                <w:sz w:val="24"/>
              </w:rPr>
            </w:pPr>
          </w:p>
        </w:tc>
        <w:tc>
          <w:tcPr>
            <w:tcW w:w="238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所属采购项目金额（万元）</w:t>
            </w:r>
          </w:p>
        </w:tc>
        <w:tc>
          <w:tcPr>
            <w:tcW w:w="1766" w:type="dxa"/>
            <w:vAlign w:val="center"/>
          </w:tcPr>
          <w:p>
            <w:pP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8522" w:type="dxa"/>
            <w:gridSpan w:val="4"/>
            <w:vAlign w:val="center"/>
          </w:tcPr>
          <w:p>
            <w:pPr>
              <w:rPr>
                <w:rFonts w:ascii="仿宋_GB2312" w:hAnsi="仿宋_GB2312" w:eastAsia="仿宋_GB2312" w:cs="仿宋_GB2312"/>
                <w:sz w:val="24"/>
              </w:rPr>
            </w:pPr>
            <w:r>
              <w:rPr>
                <w:rFonts w:hint="eastAsia" w:ascii="仿宋_GB2312" w:hAnsi="仿宋_GB2312" w:eastAsia="仿宋_GB2312" w:cs="仿宋_GB2312"/>
                <w:sz w:val="24"/>
              </w:rPr>
              <w:t>二、申请理由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4"/>
            <w:vAlign w:val="center"/>
          </w:tcPr>
          <w:p>
            <w:pPr>
              <w:spacing w:line="360" w:lineRule="auto"/>
              <w:rPr>
                <w:rFonts w:ascii="仿宋_GB2312" w:hAnsi="仿宋_GB2312" w:eastAsia="仿宋_GB2312" w:cs="仿宋_GB2312"/>
                <w:sz w:val="24"/>
              </w:rPr>
            </w:pPr>
            <w:r>
              <w:rPr>
                <w:rFonts w:ascii="仿宋_GB2312" w:hAnsi="仿宋_GB2312" w:eastAsia="仿宋_GB2312" w:cs="仿宋_GB2312"/>
                <w:sz w:val="24"/>
              </w:rPr>
              <w:pict>
                <v:shape id="_x0000_s1026" o:spid="_x0000_s1026" o:spt="189" type="#_x0000_t189" style="position:absolute;left:0pt;margin-left:1.15pt;margin-top:7.25pt;height:8.25pt;width:8.95pt;z-index:251660288;mso-width-relative:page;mso-height-relative:page;" coordsize="21600,21600" o:gfxdata="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HP3rvUAAAABgEAAA8AAAAAAAAAAQAgAAAA&#10;IgAAAGRycy9kb3ducmV2LnhtbFBLAQIUABQAAAAIAIdO4kBa9cGeDwIAAAYEAAAOAAAAAAAAAAEA&#10;IAAAACMBAABkcnMvZTJvRG9jLnhtbFBLBQYAAAAABgAGAFkBAACkBQAAAAA=&#10;">
                  <v:path/>
                  <v:fill focussize="0,0"/>
                  <v:stroke weight="0.1pt" joinstyle="miter"/>
                  <v:imagedata o:title=""/>
                  <o:lock v:ext="edit"/>
                  <v:textbox>
                    <w:txbxContent>
                      <w:p/>
                    </w:txbxContent>
                  </v:textbox>
                </v:shape>
              </w:pict>
            </w:r>
            <w:r>
              <w:rPr>
                <w:rFonts w:hint="eastAsia" w:ascii="仿宋_GB2312" w:hAnsi="仿宋_GB2312" w:eastAsia="仿宋_GB2312" w:cs="仿宋_GB2312"/>
                <w:sz w:val="24"/>
              </w:rPr>
              <w:t>11 1.中国境内无法获取或无法以合理的商业条件获取的：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522" w:type="dxa"/>
            <w:gridSpan w:val="4"/>
            <w:vAlign w:val="center"/>
          </w:tcPr>
          <w:p>
            <w:pPr>
              <w:spacing w:line="360" w:lineRule="auto"/>
              <w:rPr>
                <w:rFonts w:ascii="仿宋_GB2312" w:hAnsi="仿宋_GB2312" w:eastAsia="仿宋_GB2312" w:cs="仿宋_GB2312"/>
                <w:sz w:val="24"/>
              </w:rPr>
            </w:pPr>
            <w:r>
              <w:rPr>
                <w:rFonts w:ascii="仿宋_GB2312" w:hAnsi="仿宋_GB2312" w:eastAsia="仿宋_GB2312" w:cs="仿宋_GB2312"/>
                <w:sz w:val="24"/>
              </w:rPr>
              <w:pict>
                <v:shape id="_x0000_s1028" o:spid="_x0000_s1028" o:spt="189" type="#_x0000_t189" style="position:absolute;left:0pt;margin-left:1.15pt;margin-top:7.25pt;height:8.25pt;width:8.95pt;z-index:251661312;mso-width-relative:page;mso-height-relative:page;" coordsize="21600,21600" o:gfxdata="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c/eu9QAAAAGAQAADwAAAAAAAAABACAAAAAi&#10;AAAAZHJzL2Rvd25yZXYueG1sUEsBAhQAFAAAAAgAh07iQDvgk1gOAgAABgQAAA4AAAAAAAAAAQAg&#10;AAAAIwEAAGRycy9lMm9Eb2MueG1sUEsFBgAAAAAGAAYAWQEAAKMFAAAAAA==&#10;">
                  <v:path/>
                  <v:fill focussize="0,0"/>
                  <v:stroke weight="0.1pt" joinstyle="miter"/>
                  <v:imagedata o:title=""/>
                  <o:lock v:ext="edit"/>
                  <v:textbox>
                    <w:txbxContent>
                      <w:p/>
                    </w:txbxContent>
                  </v:textbox>
                </v:shape>
              </w:pict>
            </w:r>
            <w:r>
              <w:rPr>
                <w:rFonts w:hint="eastAsia" w:ascii="仿宋_GB2312" w:hAnsi="仿宋_GB2312" w:eastAsia="仿宋_GB2312" w:cs="仿宋_GB2312"/>
                <w:sz w:val="24"/>
              </w:rPr>
              <w:t>11 2.</w:t>
            </w:r>
            <w:r>
              <w:rPr>
                <w:rFonts w:hint="eastAsia" w:ascii="仿宋_GB2312" w:eastAsia="仿宋_GB2312" w:cs="仿宋_GB2312"/>
                <w:color w:val="000000"/>
                <w:kern w:val="0"/>
                <w:sz w:val="24"/>
              </w:rPr>
              <w:t>国内有同类产品但无法满足实质需求，确需采购进口产品的</w:t>
            </w:r>
            <w:r>
              <w:rPr>
                <w:rFonts w:hint="eastAsia" w:ascii="仿宋_GB2312" w:hAnsi="仿宋_GB2312" w:eastAsia="仿宋_GB2312" w:cs="仿宋_GB2312"/>
                <w:sz w:val="24"/>
              </w:rPr>
              <w:t>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8522" w:type="dxa"/>
            <w:gridSpan w:val="4"/>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b/>
                <w:bCs/>
                <w:sz w:val="24"/>
              </w:rPr>
              <w:t>□</w:t>
            </w:r>
            <w:r>
              <w:rPr>
                <w:rFonts w:hint="eastAsia" w:ascii="仿宋_GB2312" w:hAnsi="仿宋_GB2312" w:eastAsia="仿宋_GB2312" w:cs="仿宋_GB2312"/>
                <w:sz w:val="24"/>
              </w:rPr>
              <w:t xml:space="preserve"> 3.为在中国境外使用而进行采购的；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522" w:type="dxa"/>
            <w:gridSpan w:val="4"/>
            <w:vAlign w:val="center"/>
          </w:tcPr>
          <w:p>
            <w:pPr>
              <w:spacing w:line="360" w:lineRule="auto"/>
              <w:rPr>
                <w:rFonts w:ascii="仿宋_GB2312" w:hAnsi="仿宋_GB2312" w:eastAsia="仿宋_GB2312" w:cs="仿宋_GB2312"/>
                <w:sz w:val="24"/>
              </w:rPr>
            </w:pPr>
            <w:r>
              <w:rPr>
                <w:rFonts w:ascii="仿宋_GB2312" w:hAnsi="仿宋_GB2312" w:eastAsia="仿宋_GB2312" w:cs="仿宋_GB2312"/>
                <w:sz w:val="24"/>
              </w:rPr>
              <w:pict>
                <v:shape id="_x0000_s1027" o:spid="_x0000_s1027" o:spt="189" type="#_x0000_t189" style="position:absolute;left:0pt;margin-left:1.15pt;margin-top:8pt;height:8.25pt;width:8.95pt;z-index:251659264;mso-width-relative:page;mso-height-relative:page;" coordsize="21600,21600" o:gfxdata="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DkaZzVAAAABgEAAA8AAAAAAAAAAQAgAAAA&#10;IgAAAGRycy9kb3ducmV2LnhtbFBLAQIUABQAAAAIAIdO4kDKfFAQDgIAAAYEAAAOAAAAAAAAAAEA&#10;IAAAACQBAABkcnMvZTJvRG9jLnhtbFBLBQYAAAAABgAGAFkBAACkBQAAAAA=&#10;">
                  <v:path/>
                  <v:fill focussize="0,0"/>
                  <v:stroke weight="0.1pt" joinstyle="miter"/>
                  <v:imagedata o:title=""/>
                  <o:lock v:ext="edit"/>
                  <v:textbox>
                    <w:txbxContent>
                      <w:p/>
                    </w:txbxContent>
                  </v:textbox>
                </v:shape>
              </w:pict>
            </w:r>
            <w:r>
              <w:rPr>
                <w:rFonts w:hint="eastAsia" w:ascii="仿宋_GB2312" w:hAnsi="仿宋_GB2312" w:eastAsia="仿宋_GB2312" w:cs="仿宋_GB2312"/>
                <w:sz w:val="24"/>
              </w:rPr>
              <w:t>11 4.省属高校、科研院所以及使用省社科项目资金采购科研仪器设备的项目的承担单位采购科研仪器设备的。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8522" w:type="dxa"/>
            <w:gridSpan w:val="4"/>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三、原因阐述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522" w:type="dxa"/>
            <w:gridSpan w:val="4"/>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1.是否存在国产同类产品 ： □ 存在    □ 不存在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0" w:hRule="atLeast"/>
        </w:trPr>
        <w:tc>
          <w:tcPr>
            <w:tcW w:w="8522" w:type="dxa"/>
            <w:gridSpan w:val="4"/>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2.采购进口产品的必要性、不可替代性、采购国产同类产品对工作的实质性影响等方面的原因阐述：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gridSpan w:val="4"/>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四、专家论证意见：（专家论证意见应当完整、清晰和明确，且由专家手工填写）</w:t>
            </w:r>
          </w:p>
          <w:p>
            <w:pPr>
              <w:rPr>
                <w:rFonts w:ascii="仿宋_GB2312" w:hAnsi="仿宋_GB2312" w:eastAsia="仿宋_GB2312" w:cs="仿宋_GB2312"/>
                <w:sz w:val="24"/>
              </w:rPr>
            </w:pPr>
          </w:p>
          <w:p>
            <w:pPr>
              <w:ind w:firstLine="5520" w:firstLineChars="2300"/>
              <w:rPr>
                <w:rFonts w:ascii="仿宋_GB2312" w:hAnsi="仿宋_GB2312" w:eastAsia="仿宋_GB2312" w:cs="仿宋_GB2312"/>
                <w:sz w:val="24"/>
              </w:rPr>
            </w:pPr>
          </w:p>
          <w:p>
            <w:pPr>
              <w:ind w:firstLine="5520" w:firstLineChars="2300"/>
              <w:rPr>
                <w:rFonts w:ascii="仿宋_GB2312" w:hAnsi="仿宋_GB2312" w:eastAsia="仿宋_GB2312" w:cs="仿宋_GB2312"/>
                <w:sz w:val="24"/>
              </w:rPr>
            </w:pPr>
          </w:p>
          <w:p>
            <w:pPr>
              <w:ind w:firstLine="5520" w:firstLineChars="2300"/>
              <w:rPr>
                <w:rFonts w:ascii="仿宋_GB2312" w:hAnsi="仿宋_GB2312" w:eastAsia="仿宋_GB2312" w:cs="仿宋_GB2312"/>
                <w:sz w:val="24"/>
              </w:rPr>
            </w:pPr>
          </w:p>
          <w:p>
            <w:pPr>
              <w:ind w:firstLine="5520" w:firstLineChars="2300"/>
              <w:rPr>
                <w:rFonts w:ascii="仿宋_GB2312" w:hAnsi="仿宋_GB2312" w:eastAsia="仿宋_GB2312" w:cs="仿宋_GB2312"/>
                <w:sz w:val="24"/>
              </w:rPr>
            </w:pPr>
          </w:p>
          <w:p>
            <w:pPr>
              <w:ind w:firstLine="5040" w:firstLineChars="2100"/>
              <w:rPr>
                <w:rFonts w:ascii="仿宋_GB2312" w:hAnsi="仿宋_GB2312" w:eastAsia="仿宋_GB2312" w:cs="仿宋_GB2312"/>
                <w:sz w:val="24"/>
              </w:rPr>
            </w:pPr>
            <w:r>
              <w:rPr>
                <w:rFonts w:hint="eastAsia" w:ascii="仿宋_GB2312" w:hAnsi="仿宋_GB2312" w:eastAsia="仿宋_GB2312" w:cs="仿宋_GB2312"/>
                <w:sz w:val="24"/>
              </w:rPr>
              <w:t>论证专家签字：</w:t>
            </w:r>
          </w:p>
          <w:p>
            <w:pPr>
              <w:rPr>
                <w:rFonts w:ascii="仿宋_GB2312" w:hAnsi="仿宋_GB2312" w:eastAsia="仿宋_GB2312" w:cs="仿宋_GB2312"/>
                <w:sz w:val="24"/>
              </w:rPr>
            </w:pPr>
            <w:r>
              <w:rPr>
                <w:rFonts w:hint="eastAsia" w:ascii="仿宋_GB2312" w:hAnsi="仿宋_GB2312" w:eastAsia="仿宋_GB2312" w:cs="仿宋_GB2312"/>
                <w:sz w:val="24"/>
              </w:rPr>
              <w:t xml:space="preserve">                                              年   月   日</w:t>
            </w:r>
          </w:p>
        </w:tc>
      </w:tr>
    </w:tbl>
    <w:p>
      <w:pPr>
        <w:pStyle w:val="5"/>
        <w:widowControl/>
        <w:shd w:val="clear" w:color="auto" w:fill="FFFFFF"/>
        <w:spacing w:beforeAutospacing="0" w:after="150" w:afterAutospacing="0" w:line="360" w:lineRule="atLeast"/>
        <w:ind w:left="30" w:right="30"/>
        <w:jc w:val="right"/>
        <w:rPr>
          <w:rFonts w:asciiTheme="minorEastAsia" w:hAnsiTheme="minorEastAsia" w:cstheme="minorEastAsia"/>
          <w:color w:val="000000"/>
          <w:sz w:val="28"/>
          <w:szCs w:val="28"/>
          <w:shd w:val="clear" w:color="auto" w:fill="FFFFFF"/>
        </w:rPr>
      </w:pPr>
    </w:p>
    <w:p>
      <w:pPr>
        <w:rPr>
          <w:rFonts w:asciiTheme="minorEastAsia" w:hAnsiTheme="minorEastAsia" w:cstheme="minorEastAsia"/>
          <w:sz w:val="28"/>
          <w:szCs w:val="28"/>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jAyYTFiMjFiZThiNjVkOGZjODY5ZWE4ODU3NzVmMmQifQ=="/>
  </w:docVars>
  <w:rsids>
    <w:rsidRoot w:val="2FEA6ADE"/>
    <w:rsid w:val="000D0851"/>
    <w:rsid w:val="00103F8A"/>
    <w:rsid w:val="001C0B68"/>
    <w:rsid w:val="00E15D21"/>
    <w:rsid w:val="066474BB"/>
    <w:rsid w:val="2FEA6ADE"/>
    <w:rsid w:val="34FB2E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8">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12"/>
    <w:autoRedefine/>
    <w:qFormat/>
    <w:uiPriority w:val="0"/>
    <w:pPr>
      <w:tabs>
        <w:tab w:val="center" w:pos="4153"/>
        <w:tab w:val="right" w:pos="8306"/>
      </w:tabs>
      <w:snapToGrid w:val="0"/>
      <w:jc w:val="left"/>
    </w:pPr>
    <w:rPr>
      <w:sz w:val="18"/>
      <w:szCs w:val="18"/>
    </w:rPr>
  </w:style>
  <w:style w:type="paragraph" w:styleId="4">
    <w:name w:val="header"/>
    <w:basedOn w:val="1"/>
    <w:link w:val="1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Autospacing="1" w:afterAutospacing="1"/>
      <w:jc w:val="left"/>
    </w:pPr>
    <w:rPr>
      <w:rFonts w:cs="Times New Roman"/>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styleId="10">
    <w:name w:val="Hyperlink"/>
    <w:basedOn w:val="8"/>
    <w:autoRedefine/>
    <w:qFormat/>
    <w:uiPriority w:val="0"/>
    <w:rPr>
      <w:color w:val="0000FF"/>
      <w:u w:val="single"/>
    </w:rPr>
  </w:style>
  <w:style w:type="character" w:customStyle="1" w:styleId="11">
    <w:name w:val="页眉 Char"/>
    <w:basedOn w:val="8"/>
    <w:link w:val="4"/>
    <w:autoRedefine/>
    <w:qFormat/>
    <w:uiPriority w:val="0"/>
    <w:rPr>
      <w:rFonts w:asciiTheme="minorHAnsi" w:hAnsiTheme="minorHAnsi" w:eastAsiaTheme="minorEastAsia" w:cstheme="minorBidi"/>
      <w:kern w:val="2"/>
      <w:sz w:val="18"/>
      <w:szCs w:val="18"/>
    </w:rPr>
  </w:style>
  <w:style w:type="character" w:customStyle="1" w:styleId="12">
    <w:name w:val="页脚 Char"/>
    <w:basedOn w:val="8"/>
    <w:link w:val="3"/>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Win7_64</Company>
  <Pages>13</Pages>
  <Words>4217</Words>
  <Characters>1268</Characters>
  <Lines>10</Lines>
  <Paragraphs>10</Paragraphs>
  <TotalTime>8</TotalTime>
  <ScaleCrop>false</ScaleCrop>
  <LinksUpToDate>false</LinksUpToDate>
  <CharactersWithSpaces>5475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2020-09-07T07:29:00Z</dcterms:created>
  <dc:creator>WPS_1559532811</dc:creator>
  <cp:lastModifiedBy>WPS_1559532811</cp:lastModifiedBy>
  <dcterms:modified xsi:type="dcterms:W3CDTF">2024-05-07T09:52:53Z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815DB35B733C4541921FB862640489FB_12</vt:lpwstr>
  </property>
</Properties>
</file>